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L004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−7 B1.</w:t>
      </w:r>
    </w:p>
    <w:p>
      <w:pPr>
        <w:pStyle w:val="Heading2"/>
      </w:pPr>
      <w:r>
        <w:t>M2 [1]</w:t>
      </w:r>
    </w:p>
    <w:p>
      <w:r>
        <w:t>16 B1.</w:t>
      </w:r>
    </w:p>
    <w:p>
      <w:pPr>
        <w:pStyle w:val="Heading2"/>
      </w:pPr>
      <w:r>
        <w:t>M3 [1]</w:t>
      </w:r>
    </w:p>
    <w:p>
      <w:r>
        <w:t>12 B1.</w:t>
      </w:r>
    </w:p>
    <w:p>
      <w:pPr>
        <w:pStyle w:val="Heading2"/>
      </w:pPr>
      <w:r>
        <w:t>M4 [2]</w:t>
      </w:r>
    </w:p>
    <w:p>
      <w:r>
        <w:t>46 B1; 46 ÷ 100 = 0.46 B1.</w:t>
      </w:r>
    </w:p>
    <w:p>
      <w:pPr>
        <w:pStyle w:val="Heading2"/>
      </w:pPr>
      <w:r>
        <w:t>M5 [3]</w:t>
      </w:r>
    </w:p>
    <w:p>
      <w:r>
        <w:t>40 × 2 M1; 80 A1; no, about ten times too large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Use R1–R3 to select one priority: R1 signed operations → inverse frame; R2 order → annotate first operation; R3 scale → place-value chart. D1–D3 teach the repairs, then A1–A3 remove prompts. M1–M5 after a delay diagnose retention. Do not set entry tier from this short check. Wider screen findings lead to prerequisite support before the relevant later unit.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1 = 8 marks. Item AO judgements are local and require teacher review. This targeted set does not reproduce whole-paper weightings.</w:t>
      </w:r>
    </w:p>
    <w:p>
      <w:r>
        <w:t>Selected content: N1 N2 N3 N14 N15.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