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L009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1/5 B1.</w:t>
      </w:r>
    </w:p>
    <w:p>
      <w:pPr>
        <w:pStyle w:val="Heading2"/>
      </w:pPr>
      <w:r>
        <w:t>M2 [1]</w:t>
      </w:r>
    </w:p>
    <w:p>
      <w:r>
        <w:t>75% B1.</w:t>
      </w:r>
    </w:p>
    <w:p>
      <w:pPr>
        <w:pStyle w:val="Heading2"/>
      </w:pPr>
      <w:r>
        <w:t>M3 [1]</w:t>
      </w:r>
    </w:p>
    <w:p>
      <w:r>
        <w:t>1.2 B1.</w:t>
      </w:r>
    </w:p>
    <w:p>
      <w:pPr>
        <w:pStyle w:val="Heading2"/>
      </w:pPr>
      <w:r>
        <w:t>M4 [2]</w:t>
      </w:r>
    </w:p>
    <w:p>
      <w:r>
        <w:t>58%,60%,59% B1; 0.58,59%,3/5 B1.</w:t>
      </w:r>
    </w:p>
    <w:p>
      <w:pPr>
        <w:pStyle w:val="Heading2"/>
      </w:pPr>
      <w:r>
        <w:t>M5 [3]</w:t>
      </w:r>
    </w:p>
    <w:p>
      <w:r>
        <w:t>5% B1; 0.05=5/100 B1; 50%=50/100=0.5, a different value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0 = 8 marks. Item AO judgements are local and require teacher review. This targeted set does not reproduce whole-paper weightings.</w:t>
      </w:r>
    </w:p>
    <w:p>
      <w:r>
        <w:t>Selected content: N10 R3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