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L026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60° B1.</w:t>
      </w:r>
    </w:p>
    <w:p>
      <w:pPr>
        <w:pStyle w:val="Heading2"/>
      </w:pPr>
      <w:r>
        <w:t>M2 [1]</w:t>
      </w:r>
    </w:p>
    <w:p>
      <w:r>
        <w:t>360° B1.</w:t>
      </w:r>
    </w:p>
    <w:p>
      <w:pPr>
        <w:pStyle w:val="Heading2"/>
      </w:pPr>
      <w:r>
        <w:t>M3 [1]</w:t>
      </w:r>
    </w:p>
    <w:p>
      <w:r>
        <w:t>45° B1.</w:t>
      </w:r>
    </w:p>
    <w:p>
      <w:pPr>
        <w:pStyle w:val="Heading2"/>
      </w:pPr>
      <w:r>
        <w:t>M4 [2]</w:t>
      </w:r>
    </w:p>
    <w:p>
      <w:r>
        <w:t>540÷5 or 180−72 M1; 108° A1.</w:t>
      </w:r>
    </w:p>
    <w:p>
      <w:pPr>
        <w:pStyle w:val="Heading2"/>
      </w:pPr>
      <w:r>
        <w:t>M5 [3]</w:t>
      </w:r>
    </w:p>
    <w:p>
      <w:r>
        <w:t>20° B1; 360÷20=18 B1; full turn is 360°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360° is used for every interior sum, split a pentagon into triangles. If every polygon angle is assumed equal, contrast an irregular quadrilateral. Recheck a regular octagon: exterior 45°, interior 135°.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1 = 8 marks. Item AO judgements are local and require teacher review. This targeted set does not reproduce whole-paper weightings.</w:t>
      </w:r>
    </w:p>
    <w:p>
      <w:r>
        <w:t>Selected content: G1 G3 G4.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