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PRACTICAL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Practical drawing guidance</w:t>
      </w:r>
    </w:p>
    <w:p>
      <w:r>
        <w:t>Pearson Edexcel GCSE Mathematics 1MA1 • L026</w:t>
        <w:br/>
        <w:t>Teacher use only • Lesson resources</w:t>
      </w:r>
    </w:p>
    <w:p>
      <w:r>
        <w:t>REACH FOR THE STAR  |  GCSE MATHEMATICS</w:t>
      </w:r>
    </w:p>
    <w:p>
      <w:r>
        <w:t>At A, the two alternate angles equal B and C; with the angle at A they form a straight line. Four non-overlapping triangles in a convex hexagon give 720°. Check diagonals remain inside and all regions are counted once.</w:t>
      </w:r>
    </w:p>
    <w:p>
      <w:pPr>
        <w:pStyle w:val="Heading1"/>
      </w:pPr>
      <w:r>
        <w:t>Diagnostic response</w:t>
      </w:r>
    </w:p>
    <w:p>
      <w:r>
        <w:t>If 360° is used for every interior sum, split a pentagon into triangles. If every polygon angle is assumed equal, contrast an irregular quadrilateral. Recheck a regular octagon: exterior 45°, interior 135°.</w:t>
      </w:r>
    </w:p>
    <w:p>
      <w:r>
        <w:t>This is formative drawing evidence, not an additional scored assessment. Check method, labels and reasons; do not infer understanding from neatness or completion. Full assessment solutions remain in the teacher package.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drawing guidance</dc:title>
  <dc:subject>Triangles and polygons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