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Knowledge organiser · 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pPr>
        <w:pStyle w:val="Heading1"/>
      </w:pPr>
      <w:r>
        <w:t>Core distinction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Meaning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Units</w:t>
            </w:r>
          </w:p>
        </w:tc>
      </w:tr>
      <w:tr>
        <w:tc>
          <w:tcPr>
            <w:tcW w:type="dxa" w:w="3456"/>
          </w:tcPr>
          <w:p>
            <w:r>
              <w:t>Surface area</w:t>
            </w:r>
          </w:p>
        </w:tc>
        <w:tc>
          <w:tcPr>
            <w:tcW w:type="dxa" w:w="3456"/>
          </w:tcPr>
          <w:p>
            <w:r>
              <w:t>Total exposed area of all required faces</w:t>
            </w:r>
          </w:p>
        </w:tc>
        <w:tc>
          <w:tcPr>
            <w:tcW w:type="dxa" w:w="3456"/>
          </w:tcPr>
          <w:p>
            <w:r>
              <w:t>cm², m²</w:t>
            </w:r>
          </w:p>
        </w:tc>
      </w:tr>
      <w:tr>
        <w:tc>
          <w:tcPr>
            <w:tcW w:type="dxa" w:w="3456"/>
          </w:tcPr>
          <w:p>
            <w:r>
              <w:t>Volume</w:t>
            </w:r>
          </w:p>
        </w:tc>
        <w:tc>
          <w:tcPr>
            <w:tcW w:type="dxa" w:w="3456"/>
          </w:tcPr>
          <w:p>
            <w:r>
              <w:t>Space occupied / capacity of a solid</w:t>
            </w:r>
          </w:p>
        </w:tc>
        <w:tc>
          <w:tcPr>
            <w:tcW w:type="dxa" w:w="3456"/>
          </w:tcPr>
          <w:p>
            <w:r>
              <w:t>cm³, m³</w:t>
            </w:r>
          </w:p>
        </w:tc>
      </w:tr>
    </w:tbl>
    <w:p>
      <w:pPr>
        <w:pStyle w:val="Heading1"/>
      </w:pPr>
      <w:r>
        <w:t>Formulae and structures</w:t>
      </w:r>
    </w:p>
    <w:p>
      <w:pPr>
        <w:pStyle w:val="ListBullet"/>
      </w:pPr>
      <w:r>
        <w:t>Cuboid volume: V = lwh</w:t>
      </w:r>
    </w:p>
    <w:p>
      <w:pPr>
        <w:pStyle w:val="ListBullet"/>
      </w:pPr>
      <w:r>
        <w:t>Cuboid total surface area: SA = 2(lw + lh + wh)</w:t>
      </w:r>
    </w:p>
    <w:p>
      <w:pPr>
        <w:pStyle w:val="ListBullet"/>
      </w:pPr>
      <w:r>
        <w:t>Prism volume: V = cross-sectional area × length</w:t>
      </w:r>
    </w:p>
    <w:p>
      <w:pPr>
        <w:pStyle w:val="ListBullet"/>
      </w:pPr>
      <w:r>
        <w:t>Cylinder volume: V = πr²h</w:t>
      </w:r>
    </w:p>
    <w:p>
      <w:pPr>
        <w:pStyle w:val="ListBullet"/>
      </w:pPr>
      <w:r>
        <w:t>Closed cylinder total surface area: SA = 2πr² + 2πrh</w:t>
      </w:r>
    </w:p>
    <w:p>
      <w:pPr>
        <w:pStyle w:val="ListBullet"/>
      </w:pPr>
      <w:r>
        <w:t>Open-top solid: omit the missing face from surface area, but not from volume.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29077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boid-ne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07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29077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ylinder-n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07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Method checklist</w:t>
      </w:r>
    </w:p>
    <w:p>
      <w:pPr>
        <w:pStyle w:val="ListNumber"/>
      </w:pPr>
      <w:r>
        <w:t>Sketch or recognise the net / faces.</w:t>
      </w:r>
    </w:p>
    <w:p>
      <w:pPr>
        <w:pStyle w:val="ListNumber"/>
      </w:pPr>
      <w:r>
        <w:t>Decide whether the question asks for area, volume, or both.</w:t>
      </w:r>
    </w:p>
    <w:p>
      <w:pPr>
        <w:pStyle w:val="ListNumber"/>
      </w:pPr>
      <w:r>
        <w:t>Check whether the solid is open or closed.</w:t>
      </w:r>
    </w:p>
    <w:p>
      <w:pPr>
        <w:pStyle w:val="ListNumber"/>
      </w:pPr>
      <w:r>
        <w:t>Substitute dimensions with units.</w:t>
      </w:r>
    </w:p>
    <w:p>
      <w:pPr>
        <w:pStyle w:val="ListNumber"/>
      </w:pPr>
      <w:r>
        <w:t>For calculator work, keep full precision until the end.</w:t>
      </w:r>
    </w:p>
    <w:p>
      <w:pPr>
        <w:pStyle w:val="ListNumber"/>
      </w:pPr>
      <w:r>
        <w:t>Check: surface area must be square units; volume must be cubic units.</w:t>
      </w:r>
    </w:p>
    <w:p>
      <w:pPr>
        <w:pStyle w:val="Heading1"/>
      </w:pPr>
      <w:r>
        <w:t>Common errors to avoid</w:t>
      </w:r>
    </w:p>
    <w:p>
      <w:r>
        <w:t>Missing a face; counting an internal/non-exposed face; using diameter as radius; using cm² for volume; rounding π too early; using 2πrh alone for a closed cylinder.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