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28800" cy="914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914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jc w:val="center"/>
      </w:pPr>
      <w:r>
        <w:t>Teacher mark scheme · Plans, elevations and measures</w:t>
      </w:r>
    </w:p>
    <w:p>
      <w:pPr>
        <w:jc w:val="center"/>
      </w:pPr>
      <w:r>
        <w:rPr>
          <w:b/>
          <w:color w:val="60798B"/>
        </w:rPr>
        <w:t>GCSE Mathematics 1MA1 · L037 · 60 minutes</w:t>
      </w:r>
    </w:p>
    <w:p>
      <w:r>
        <w:t>Award method/reasoning marks where appropriate. Accept mathematically equivalent methods. Require units when the question gives a measured context.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shd w:fill="082B57"/>
          </w:tcPr>
          <w:p>
            <w:r>
              <w:rPr>
                <w:b/>
                <w:color w:val="FFFFFF"/>
              </w:rPr>
              <w:t>Q</w:t>
            </w:r>
          </w:p>
        </w:tc>
        <w:tc>
          <w:tcPr>
            <w:tcW w:type="dxa" w:w="2592"/>
            <w:shd w:fill="082B57"/>
          </w:tcPr>
          <w:p>
            <w:r>
              <w:rPr>
                <w:b/>
                <w:color w:val="FFFFFF"/>
              </w:rPr>
              <w:t>Answer</w:t>
            </w:r>
          </w:p>
        </w:tc>
        <w:tc>
          <w:tcPr>
            <w:tcW w:type="dxa" w:w="2592"/>
            <w:shd w:fill="082B57"/>
          </w:tcPr>
          <w:p>
            <w:r>
              <w:rPr>
                <w:b/>
                <w:color w:val="FFFFFF"/>
              </w:rPr>
              <w:t>Marks</w:t>
            </w:r>
          </w:p>
        </w:tc>
        <w:tc>
          <w:tcPr>
            <w:tcW w:type="dxa" w:w="2592"/>
            <w:shd w:fill="082B57"/>
          </w:tcPr>
          <w:p>
            <w:r>
              <w:rPr>
                <w:b/>
                <w:color w:val="FFFFFF"/>
              </w:rPr>
              <w:t>Guidance</w:t>
            </w:r>
          </w:p>
        </w:tc>
      </w:tr>
      <w:tr>
        <w:tc>
          <w:tcPr>
            <w:tcW w:type="dxa" w:w="2592"/>
          </w:tcPr>
          <w:p>
            <w:r>
              <w:t>1</w:t>
            </w:r>
          </w:p>
        </w:tc>
        <w:tc>
          <w:tcPr>
            <w:tcW w:type="dxa" w:w="2592"/>
          </w:tcPr>
          <w:p>
            <w:r>
              <w:t>View from directly above</w:t>
            </w:r>
          </w:p>
        </w:tc>
        <w:tc>
          <w:tcPr>
            <w:tcW w:type="dxa" w:w="2592"/>
          </w:tcPr>
          <w:p>
            <w:r>
              <w:t>2</w:t>
            </w:r>
          </w:p>
        </w:tc>
        <w:tc>
          <w:tcPr>
            <w:tcW w:type="dxa" w:w="2592"/>
          </w:tcPr>
          <w:p>
            <w:r>
              <w:t>1 above; 1 orthographic/footprint idea.</w:t>
            </w:r>
          </w:p>
        </w:tc>
      </w:tr>
      <w:tr>
        <w:tc>
          <w:tcPr>
            <w:tcW w:type="dxa" w:w="2592"/>
          </w:tcPr>
          <w:p>
            <w:r>
              <w:t>2</w:t>
            </w:r>
          </w:p>
        </w:tc>
        <w:tc>
          <w:tcPr>
            <w:tcW w:type="dxa" w:w="2592"/>
          </w:tcPr>
          <w:p>
            <w:r>
              <w:t>Plan does not encode stack height</w:t>
            </w:r>
          </w:p>
        </w:tc>
        <w:tc>
          <w:tcPr>
            <w:tcW w:type="dxa" w:w="2592"/>
          </w:tcPr>
          <w:p>
            <w:r>
              <w:t>2</w:t>
            </w:r>
          </w:p>
        </w:tc>
        <w:tc>
          <w:tcPr>
            <w:tcW w:type="dxa" w:w="2592"/>
          </w:tcPr>
          <w:p>
            <w:r>
              <w:t>1 identifies missing height; 1 explains ambiguity.</w:t>
            </w:r>
          </w:p>
        </w:tc>
      </w:tr>
      <w:tr>
        <w:tc>
          <w:tcPr>
            <w:tcW w:type="dxa" w:w="2592"/>
          </w:tcPr>
          <w:p>
            <w:r>
              <w:t>3</w:t>
            </w:r>
          </w:p>
        </w:tc>
        <w:tc>
          <w:tcPr>
            <w:tcW w:type="dxa" w:w="2592"/>
          </w:tcPr>
          <w:p>
            <w:r>
              <w:t>Any valid arrangement</w:t>
            </w:r>
          </w:p>
        </w:tc>
        <w:tc>
          <w:tcPr>
            <w:tcW w:type="dxa" w:w="2592"/>
          </w:tcPr>
          <w:p>
            <w:r>
              <w:t>4</w:t>
            </w:r>
          </w:p>
        </w:tc>
        <w:tc>
          <w:tcPr>
            <w:tcW w:type="dxa" w:w="2592"/>
          </w:tcPr>
          <w:p>
            <w:r>
              <w:t>Award for 3 column heights and coherent 3D interpretation.</w:t>
            </w:r>
          </w:p>
        </w:tc>
      </w:tr>
      <w:tr>
        <w:tc>
          <w:tcPr>
            <w:tcW w:type="dxa" w:w="2592"/>
          </w:tcPr>
          <w:p>
            <w:r>
              <w:t>4</w:t>
            </w:r>
          </w:p>
        </w:tc>
        <w:tc>
          <w:tcPr>
            <w:tcW w:type="dxa" w:w="2592"/>
          </w:tcPr>
          <w:p>
            <w:r>
              <w:t>4 m × 2.5 m = 10 m²</w:t>
            </w:r>
          </w:p>
        </w:tc>
        <w:tc>
          <w:tcPr>
            <w:tcW w:type="dxa" w:w="2592"/>
          </w:tcPr>
          <w:p>
            <w:r>
              <w:t>4</w:t>
            </w:r>
          </w:p>
        </w:tc>
        <w:tc>
          <w:tcPr>
            <w:tcW w:type="dxa" w:w="2592"/>
          </w:tcPr>
          <w:p>
            <w:r>
              <w:t>2 length conversions; 1 area method; 1 answer/units.</w:t>
            </w:r>
          </w:p>
        </w:tc>
      </w:tr>
      <w:tr>
        <w:tc>
          <w:tcPr>
            <w:tcW w:type="dxa" w:w="2592"/>
          </w:tcPr>
          <w:p>
            <w:r>
              <w:t>5</w:t>
            </w:r>
          </w:p>
        </w:tc>
        <w:tc>
          <w:tcPr>
            <w:tcW w:type="dxa" w:w="2592"/>
          </w:tcPr>
          <w:p>
            <w:r>
              <w:t>Depth/hidden arrangement may differ</w:t>
            </w:r>
          </w:p>
        </w:tc>
        <w:tc>
          <w:tcPr>
            <w:tcW w:type="dxa" w:w="2592"/>
          </w:tcPr>
          <w:p>
            <w:r>
              <w:t>3</w:t>
            </w:r>
          </w:p>
        </w:tc>
        <w:tc>
          <w:tcPr>
            <w:tcW w:type="dxa" w:w="2592"/>
          </w:tcPr>
          <w:p>
            <w:r>
              <w:t>Award clear explanation/example.</w:t>
            </w:r>
          </w:p>
        </w:tc>
      </w:tr>
      <w:tr>
        <w:tc>
          <w:tcPr>
            <w:tcW w:type="dxa" w:w="2592"/>
          </w:tcPr>
          <w:p>
            <w:r>
              <w:t>6</w:t>
            </w:r>
          </w:p>
        </w:tc>
        <w:tc>
          <w:tcPr>
            <w:tcW w:type="dxa" w:w="2592"/>
          </w:tcPr>
          <w:p>
            <w:r>
              <w:t>Project each view, compare occupied positions/max heights, check dimensions consistently</w:t>
            </w:r>
          </w:p>
        </w:tc>
        <w:tc>
          <w:tcPr>
            <w:tcW w:type="dxa" w:w="2592"/>
          </w:tcPr>
          <w:p>
            <w:r>
              <w:t>5</w:t>
            </w:r>
          </w:p>
        </w:tc>
        <w:tc>
          <w:tcPr>
            <w:tcW w:type="dxa" w:w="2592"/>
          </w:tcPr>
          <w:p>
            <w:r>
              <w:t>Award systematic coherent method.</w:t>
            </w:r>
          </w:p>
        </w:tc>
      </w:tr>
    </w:tbl>
    <w:p>
      <w:pPr>
        <w:pStyle w:val="Heading1"/>
      </w:pPr>
      <w:r>
        <w:t>Diagnostic feedback bank</w:t>
      </w:r>
    </w:p>
    <w:p>
      <w:pPr>
        <w:pStyle w:val="ListBullet"/>
      </w:pPr>
      <w:r>
        <w:t>WWW: You kept each viewpoint consistent and labelled it clearly.</w:t>
      </w:r>
    </w:p>
    <w:p>
      <w:pPr>
        <w:pStyle w:val="ListBullet"/>
      </w:pPr>
      <w:r>
        <w:t>WWW: Your scale conversion linked drawing length to real length correctly.</w:t>
      </w:r>
    </w:p>
    <w:p>
      <w:pPr>
        <w:pStyle w:val="ListBullet"/>
      </w:pPr>
      <w:r>
        <w:t>EBI: State the viewing direction before drawing an elevation.</w:t>
      </w:r>
    </w:p>
    <w:p>
      <w:pPr>
        <w:pStyle w:val="ListBullet"/>
      </w:pPr>
      <w:r>
        <w:t>EBI: Do not infer hidden depth or height that the view does not show.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82B5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AA6A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82B57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