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Teacher mark scheme: Straight line equations</w:t>
      </w:r>
    </w:p>
    <w:p>
      <w:r>
        <w:t>Use this mark scheme to identify the misconception and the next response, not only the score.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answer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Common misconception / 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y = 2x - 3.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Yes: 2(4)-3 = 5.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Yes. Same gradient, different intercepts.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Intersection (2, 5).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</w:tbl>
    <w:p>
      <w:pPr>
        <w:pStyle w:val="Heading2"/>
      </w:pPr>
      <w:r>
        <w:t>WWW / EBI feedback bank</w:t>
      </w:r>
    </w:p>
    <w:p>
      <w:pPr>
        <w:pStyle w:val="ListBullet"/>
      </w:pPr>
      <w:r>
        <w:t>WWW: Your method shows a clear first decision and a valid check.</w:t>
      </w:r>
    </w:p>
    <w:p>
      <w:pPr>
        <w:pStyle w:val="ListBullet"/>
      </w:pPr>
      <w:r>
        <w:t>EBI: Remove the scaffold and try a fresh matched question to prove the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