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L043</w:t>
      </w:r>
    </w:p>
    <w:p>
      <w:pPr>
        <w:pStyle w:val="Heading1"/>
        <w:jc w:val="center"/>
      </w:pPr>
      <w:r>
        <w:rPr>
          <w:color w:val="052D57"/>
        </w:rPr>
        <w:t>Learner assessment: Distance time and speed graphs</w:t>
      </w:r>
    </w:p>
    <w:p>
      <w:r>
        <w:t>Objective: Interpret distance–time and speed–time graphs in context.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Mini-assessment</w:t>
      </w:r>
    </w:p>
    <w:p>
      <w:r>
        <w:t>Time: 20 minutes. Work independently. Calculator allowed where labelled; non-calculator reasoning remains required.</w:t>
      </w:r>
    </w:p>
    <w:p>
      <w:r>
        <w:t>1. Retrieve the key fact or method needed for distance time and speed graphs.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runner covers 400 m in 80 s, rests for 20 s, then covers 200 m in 40 s. Find average speed for the whole journey.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distance-time graph has a downward segment. Explain what the vertical axis must represent if the graph is valid.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A graph is drawn for a real context. Interpret the gradient, intercept or area as appropriate. State units and justify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