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L045</w:t>
      </w:r>
    </w:p>
    <w:p>
      <w:pPr>
        <w:pStyle w:val="Heading1"/>
        <w:jc w:val="center"/>
      </w:pPr>
      <w:r>
        <w:rPr>
          <w:color w:val="052D57"/>
        </w:rPr>
        <w:t>Flipped learning: Sampling and data quality</w:t>
      </w:r>
    </w:p>
    <w:p>
      <w:r>
        <w:t>Objective: Recognise populations, samples, bias and limits of conclusions.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school has 800 learners, 200 in Year 11. How many Year 11 learners belong in a proportional sample of 64?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