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960120" cy="48006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Reach-for-the-Star-logo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60120" cy="4800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  <w:color w:val="052D57"/>
          <w:sz w:val="20"/>
        </w:rPr>
        <w:t>Reach for the Star | GCSE Mathematics 1MA1 | L047</w:t>
      </w:r>
    </w:p>
    <w:p>
      <w:pPr>
        <w:pStyle w:val="Heading1"/>
        <w:jc w:val="center"/>
      </w:pPr>
      <w:r>
        <w:rPr>
          <w:color w:val="052D57"/>
        </w:rPr>
        <w:t>Teacher guide: Averages and spread</w:t>
      </w:r>
    </w:p>
    <w:p>
      <w:r>
        <w:t>Objective: Calculate and interpret averages and range, including grouped estimates.</w:t>
      </w:r>
    </w:p>
    <w:p>
      <w:r>
        <w:t>Calculator condition: Non-calculator core; calculator optional only for checking where labelled.</w:t>
      </w:r>
    </w:p>
    <w:p>
      <w:pPr>
        <w:pStyle w:val="Heading2"/>
      </w:pPr>
      <w:r>
        <w:t>Learning Cycle plan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92"/>
        <w:gridCol w:w="2592"/>
        <w:gridCol w:w="2592"/>
        <w:gridCol w:w="2592"/>
      </w:tblGrid>
      <w:tr>
        <w:tc>
          <w:tcPr>
            <w:tcW w:type="dxa" w:w="2592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Stage</w:t>
            </w:r>
          </w:p>
        </w:tc>
        <w:tc>
          <w:tcPr>
            <w:tcW w:type="dxa" w:w="2592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Time</w:t>
            </w:r>
          </w:p>
        </w:tc>
        <w:tc>
          <w:tcPr>
            <w:tcW w:type="dxa" w:w="2592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Teacher move</w:t>
            </w:r>
          </w:p>
        </w:tc>
        <w:tc>
          <w:tcPr>
            <w:tcW w:type="dxa" w:w="2592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Evidence to collect</w:t>
            </w:r>
          </w:p>
        </w:tc>
      </w:tr>
      <w:tr>
        <w:tc>
          <w:tcPr>
            <w:tcW w:type="dxa" w:w="2592"/>
          </w:tcPr>
          <w:p>
            <w:r>
              <w:t>Connect &amp; Check</w:t>
            </w:r>
          </w:p>
        </w:tc>
        <w:tc>
          <w:tcPr>
            <w:tcW w:type="dxa" w:w="2592"/>
          </w:tcPr>
          <w:p>
            <w:r>
              <w:t>5 min</w:t>
            </w:r>
          </w:p>
        </w:tc>
        <w:tc>
          <w:tcPr>
            <w:tcW w:type="dxa" w:w="2592"/>
          </w:tcPr>
          <w:p>
            <w:r>
              <w:t>State the objective and timeline. Retrieve tables charts and time series or a prerequisite. Diagnose a common error before modelling.</w:t>
            </w:r>
          </w:p>
        </w:tc>
        <w:tc>
          <w:tcPr>
            <w:tcW w:type="dxa" w:w="2592"/>
          </w:tcPr>
          <w:p>
            <w:r>
              <w:t>Independent written response, correction or verbal explanation.</w:t>
            </w:r>
          </w:p>
        </w:tc>
      </w:tr>
      <w:tr>
        <w:tc>
          <w:tcPr>
            <w:tcW w:type="dxa" w:w="2592"/>
          </w:tcPr>
          <w:p>
            <w:r>
              <w:t>Share</w:t>
            </w:r>
          </w:p>
        </w:tc>
        <w:tc>
          <w:tcPr>
            <w:tcW w:type="dxa" w:w="2592"/>
          </w:tcPr>
          <w:p>
            <w:r>
              <w:t>7 min</w:t>
            </w:r>
          </w:p>
        </w:tc>
        <w:tc>
          <w:tcPr>
            <w:tcW w:type="dxa" w:w="2592"/>
          </w:tcPr>
          <w:p>
            <w:r>
              <w:t>Pairs compare methods or predict a result for averages and spread. Ask for a reason, not only an answer.</w:t>
            </w:r>
          </w:p>
        </w:tc>
        <w:tc>
          <w:tcPr>
            <w:tcW w:type="dxa" w:w="2592"/>
          </w:tcPr>
          <w:p>
            <w:r>
              <w:t>Independent written response, correction or verbal explanation.</w:t>
            </w:r>
          </w:p>
        </w:tc>
      </w:tr>
      <w:tr>
        <w:tc>
          <w:tcPr>
            <w:tcW w:type="dxa" w:w="2592"/>
          </w:tcPr>
          <w:p>
            <w:r>
              <w:t>Present</w:t>
            </w:r>
          </w:p>
        </w:tc>
        <w:tc>
          <w:tcPr>
            <w:tcW w:type="dxa" w:w="2592"/>
          </w:tcPr>
          <w:p>
            <w:r>
              <w:t>10 min</w:t>
            </w:r>
          </w:p>
        </w:tc>
        <w:tc>
          <w:tcPr>
            <w:tcW w:type="dxa" w:w="2592"/>
          </w:tcPr>
          <w:p>
            <w:r>
              <w:t>Contrast exact data with grouped estimates; explore the effect of an outlier</w:t>
            </w:r>
          </w:p>
        </w:tc>
        <w:tc>
          <w:tcPr>
            <w:tcW w:type="dxa" w:w="2592"/>
          </w:tcPr>
          <w:p>
            <w:r>
              <w:t>Independent written response, correction or verbal explanation.</w:t>
            </w:r>
          </w:p>
        </w:tc>
      </w:tr>
      <w:tr>
        <w:tc>
          <w:tcPr>
            <w:tcW w:type="dxa" w:w="2592"/>
          </w:tcPr>
          <w:p>
            <w:r>
              <w:t>Apply</w:t>
            </w:r>
          </w:p>
        </w:tc>
        <w:tc>
          <w:tcPr>
            <w:tcW w:type="dxa" w:w="2592"/>
          </w:tcPr>
          <w:p>
            <w:r>
              <w:t>25 min</w:t>
            </w:r>
          </w:p>
        </w:tc>
        <w:tc>
          <w:tcPr>
            <w:tcW w:type="dxa" w:w="2592"/>
          </w:tcPr>
          <w:p>
            <w:r>
              <w:t>Compare summaries and justify a suitable average Use guided support, then remove it for independent working.</w:t>
            </w:r>
          </w:p>
        </w:tc>
        <w:tc>
          <w:tcPr>
            <w:tcW w:type="dxa" w:w="2592"/>
          </w:tcPr>
          <w:p>
            <w:r>
              <w:t>Independent written response, correction or verbal explanation.</w:t>
            </w:r>
          </w:p>
        </w:tc>
      </w:tr>
      <w:tr>
        <w:tc>
          <w:tcPr>
            <w:tcW w:type="dxa" w:w="2592"/>
          </w:tcPr>
          <w:p>
            <w:r>
              <w:t>Recall &amp; Review</w:t>
            </w:r>
          </w:p>
        </w:tc>
        <w:tc>
          <w:tcPr>
            <w:tcW w:type="dxa" w:w="2592"/>
          </w:tcPr>
          <w:p>
            <w:r>
              <w:t>8 min</w:t>
            </w:r>
          </w:p>
        </w:tc>
        <w:tc>
          <w:tcPr>
            <w:tcW w:type="dxa" w:w="2592"/>
          </w:tcPr>
          <w:p>
            <w:r>
              <w:t>Revisit the objective. Learners solve a fresh item without prompts, explain a check, correct one error and record the next practice.</w:t>
            </w:r>
          </w:p>
        </w:tc>
        <w:tc>
          <w:tcPr>
            <w:tcW w:type="dxa" w:w="2592"/>
          </w:tcPr>
          <w:p>
            <w:r>
              <w:t>Independent written response, correction or verbal explanation.</w:t>
            </w:r>
          </w:p>
        </w:tc>
      </w:tr>
    </w:tbl>
    <w:p>
      <w:pPr>
        <w:pStyle w:val="Heading2"/>
      </w:pPr>
      <w:r>
        <w:t>Differentiation</w:t>
      </w:r>
    </w:p>
    <w:p>
      <w:pPr>
        <w:pStyle w:val="ListBullet"/>
      </w:pPr>
      <w:r>
        <w:t>All learners reach the same objective; route choice changes the journey, not the standard.</w:t>
      </w:r>
    </w:p>
    <w:p>
      <w:pPr>
        <w:pStyle w:val="ListBullet"/>
      </w:pPr>
      <w:r>
        <w:t>Use visual, method and explanation routes to support access.</w:t>
      </w:r>
    </w:p>
    <w:p>
      <w:pPr>
        <w:pStyle w:val="ListBullet"/>
      </w:pPr>
      <w:r>
        <w:t>Remove prompts before exit evidence.</w:t>
      </w:r>
    </w:p>
    <w:p>
      <w:pPr>
        <w:pStyle w:val="ListBullet"/>
      </w:pPr>
      <w:r>
        <w:t>Use stretch and deep challenge only after the core method is secure.</w:t>
      </w:r>
    </w:p>
    <w:p>
      <w:pPr>
        <w:pStyle w:val="Heading2"/>
      </w:pPr>
      <w:r>
        <w:t>Assessment response</w:t>
      </w:r>
    </w:p>
    <w:p>
      <w:pPr>
        <w:pStyle w:val="ListBullet"/>
      </w:pPr>
      <w:r>
        <w:t>Check the formative mini-test and independent workbook response against the objective. Use the teacher answers or mark guidance; group errors for reteaching. NC/C selected to purpose; label each question.</w:t>
      </w:r>
    </w:p>
    <w:p>
      <w:r>
        <w:br w:type="page"/>
      </w:r>
    </w:p>
    <w:p>
      <w:pPr>
        <w:spacing w:after="160"/>
        <w:pBdr>
          <w:bottom w:val="single" w:sz="6" w:space="3" w:color="D6A522"/>
        </w:pBdr>
      </w:pPr>
      <w:r>
        <w:rPr>
          <w:rFonts w:ascii="Aptos" w:hAnsi="Aptos"/>
          <w:b/>
          <w:color w:val="0B2E57"/>
          <w:sz w:val="30"/>
        </w:rPr>
        <w:t>Recall &amp; Review: feedback and extension integration</w:t>
      </w:r>
    </w:p>
    <w:p>
      <w:pPr>
        <w:spacing w:after="60"/>
      </w:pPr>
      <w:r>
        <w:rPr>
          <w:rFonts w:ascii="Aptos" w:hAnsi="Aptos"/>
          <w:b/>
          <w:color w:val="147D88"/>
          <w:sz w:val="22"/>
        </w:rPr>
        <w:t>Lesson L047: Averages and spread</w:t>
      </w:r>
    </w:p>
    <w:p>
      <w:pPr>
        <w:spacing w:after="140"/>
      </w:pPr>
      <w:r>
        <w:rPr>
          <w:rFonts w:ascii="Aptos" w:hAnsi="Aptos"/>
          <w:b w:val="0"/>
          <w:color w:val="132A42"/>
          <w:sz w:val="21"/>
        </w:rPr>
        <w:t>Objective: Calculate and interpret averages and range, including grouped estimates.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Timing for a 60-minute lesson</w:t>
      </w:r>
    </w:p>
    <w:p>
      <w:pPr>
        <w:spacing w:after="140"/>
      </w:pPr>
      <w:r>
        <w:rPr>
          <w:rFonts w:ascii="Aptos" w:hAnsi="Aptos"/>
          <w:b w:val="0"/>
          <w:color w:val="132A42"/>
          <w:sz w:val="19"/>
        </w:rPr>
        <w:t>0-7 Connect &amp; Check; 7-14 Share; 14-25 Present/model; 25-44 Apply route choice/practice; 44-52 independent exam-style check; 52-60 Recall &amp; Review, WWW/EBI and next step.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Recall &amp; Review evidence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At the end of the lesson, solve a fresh question without prompts, explain one check, correct one error and record the next practice step.</w:t>
      </w:r>
    </w:p>
    <w:p>
      <w:pPr>
        <w:spacing w:after="40"/>
      </w:pPr>
      <w:r>
        <w:rPr>
          <w:rFonts w:ascii="Aptos" w:hAnsi="Aptos"/>
          <w:b/>
          <w:color w:val="147D88"/>
          <w:sz w:val="22"/>
        </w:rPr>
        <w:t>What Went Well (WWW)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I selected an appropriate statistic or representation and supported my comparison or interpretation with specific evidence from the data.</w:t>
      </w:r>
    </w:p>
    <w:p>
      <w:pPr>
        <w:spacing w:after="40"/>
      </w:pPr>
      <w:r>
        <w:rPr>
          <w:rFonts w:ascii="Aptos" w:hAnsi="Aptos"/>
          <w:b/>
          <w:color w:val="147D88"/>
          <w:sz w:val="22"/>
        </w:rPr>
        <w:t>Even Better If (EBI)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I will quote the relevant values or features, compare like with like and explain what the evidence shows without making an unsupported claim.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Integrated stretch and deep challenge</w:t>
      </w:r>
    </w:p>
    <w:p>
      <w:pPr>
        <w:spacing w:after="60"/>
      </w:pPr>
      <w:r>
        <w:rPr>
          <w:rFonts w:ascii="Aptos" w:hAnsi="Aptos"/>
          <w:b w:val="0"/>
          <w:color w:val="132A42"/>
          <w:sz w:val="20"/>
        </w:rPr>
        <w:t>Stretch: Five numbers have mean 12. Four are 8, 11, 13 and 15. Find the fifth and the range.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Deep challenge: A data set has mean 10. One new value of 100 is added. Must the median increase?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Teacher use</w:t>
      </w:r>
    </w:p>
    <w:p>
      <w:pPr>
        <w:spacing w:after="100"/>
      </w:pPr>
      <w:r>
        <w:rPr>
          <w:rFonts w:ascii="Aptos" w:hAnsi="Aptos"/>
          <w:b w:val="0"/>
          <w:color w:val="132A42"/>
          <w:sz w:val="19"/>
        </w:rPr>
        <w:t>Use the What Went Well (WWW) and Even Better If (EBI) prompts to write mathematics-specific feedback linked to the objective. Do not accept generic praise: identify the method, representation, reasoning or checking step that improved, then set a fresh next-step question.</w:t>
      </w:r>
    </w:p>
    <w:p>
      <w:pPr>
        <w:spacing w:after="60"/>
      </w:pPr>
      <w:r>
        <w:rPr>
          <w:rFonts w:ascii="Aptos" w:hAnsi="Aptos"/>
          <w:b w:val="0"/>
          <w:color w:val="132A42"/>
          <w:sz w:val="19"/>
        </w:rPr>
        <w:t>Assessment evidence to inspect: Check the formative mini-test and independent workbook response against the objective. Use the teacher answers or mark guidance; group errors for reteaching. NC/C selected to purpose; label each question.</w:t>
      </w:r>
    </w:p>
    <w:sectPr w:rsidR="00FC693F" w:rsidRPr="0006063C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