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L049</w:t>
      </w:r>
    </w:p>
    <w:p>
      <w:pPr>
        <w:pStyle w:val="Heading1"/>
        <w:jc w:val="center"/>
      </w:pPr>
      <w:r>
        <w:rPr>
          <w:color w:val="052D57"/>
        </w:rPr>
        <w:t>Teacher guide: Probability and expected frequency</w:t>
      </w:r>
    </w:p>
    <w:p>
      <w:r>
        <w:t>Objective: Use the probability scale and calculate expected frequency.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statistical comparisons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probability and expected frequency.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Connect equally likely outcomes with long-run expectation; distinguish expectation from certainty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Calculate expected counts and explain variation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L049: Probability and expected frequency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the probability scale and calculate expected frequency.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outcomes systematically, used the correct probability rule and checked that the probabilities or frequencies were consistent.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sample space, branch or set reasoning explicitly, state any dependence or condition and check totals before giving the final probability.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biased coin shows heads 78 times in 120 tosses. Estimate heads in the next 400 tosses.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Why is an expected frequency of 26 not a guarantee of exactly 26 successes?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