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L056</w:t>
      </w:r>
    </w:p>
    <w:p>
      <w:pPr>
        <w:pStyle w:val="Heading1"/>
        <w:jc w:val="center"/>
      </w:pPr>
      <w:r>
        <w:rPr>
          <w:color w:val="052D57"/>
        </w:rPr>
        <w:t>Flipped learning: Number accuracy pathway</w:t>
      </w:r>
    </w:p>
    <w:p>
      <w:r>
        <w:t>Objective: Select appropriate exact or approximate forms and explain accuracy.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Before the lesson</w:t>
      </w:r>
    </w:p>
    <w:p>
      <w:pPr>
        <w:pStyle w:val="ListBullet"/>
      </w:pPr>
      <w:r>
        <w:t>Read the objective.</w:t>
      </w:r>
    </w:p>
    <w:p>
      <w:pPr>
        <w:pStyle w:val="ListBullet"/>
      </w:pPr>
      <w:r>
        <w:t>Attempt the baseline task without notes.</w:t>
      </w:r>
    </w:p>
    <w:p>
      <w:pPr>
        <w:pStyle w:val="ListBullet"/>
      </w:pPr>
      <w:r>
        <w:t>Bring one question to Connect &amp; Check.</w:t>
      </w:r>
    </w:p>
    <w:p>
      <w:r>
        <w:t>Baseline task: Estimate 398×0.051 to one significant figure, then calculate exactly.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