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L059</w:t>
      </w:r>
    </w:p>
    <w:p>
      <w:pPr>
        <w:pStyle w:val="Heading1"/>
        <w:jc w:val="center"/>
      </w:pPr>
      <w:r>
        <w:rPr>
          <w:color w:val="052D57"/>
        </w:rPr>
        <w:t>Teacher mark scheme: Solving quadratics</w:t>
      </w:r>
    </w:p>
    <w:p>
      <w:r>
        <w:t>Objective: Solve quadratic equations using tier-appropriate methods.</w:t>
      </w:r>
    </w:p>
    <w:p>
      <w:r>
        <w:t>Calculator condition: Calculator allowed where labelled; non-calculator reasoning remains required.</w:t>
      </w:r>
    </w:p>
    <w:p>
      <w:pPr>
        <w:pStyle w:val="Heading2"/>
      </w:pPr>
      <w:r>
        <w:t>Answers and marking guidance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Question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Expected evidence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Marks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Response</w:t>
            </w:r>
          </w:p>
        </w:tc>
      </w:tr>
      <w:tr>
        <w:tc>
          <w:tcPr>
            <w:tcW w:type="dxa" w:w="2592"/>
          </w:tcPr>
          <w:p>
            <w:r>
              <w:t>1</w:t>
            </w:r>
          </w:p>
        </w:tc>
        <w:tc>
          <w:tcPr>
            <w:tcW w:type="dxa" w:w="2592"/>
          </w:tcPr>
          <w:p>
            <w:r>
              <w:t>Valid method for recall;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2</w:t>
            </w:r>
          </w:p>
        </w:tc>
        <w:tc>
          <w:tcPr>
            <w:tcW w:type="dxa" w:w="2592"/>
          </w:tcPr>
          <w:p>
            <w:r>
              <w:t>Valid method for core practice;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3</w:t>
            </w:r>
          </w:p>
        </w:tc>
        <w:tc>
          <w:tcPr>
            <w:tcW w:type="dxa" w:w="2592"/>
          </w:tcPr>
          <w:p>
            <w:r>
              <w:t>Valid method for reasoning;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4</w:t>
            </w:r>
          </w:p>
        </w:tc>
        <w:tc>
          <w:tcPr>
            <w:tcW w:type="dxa" w:w="2592"/>
          </w:tcPr>
          <w:p>
            <w:r>
              <w:t>Valid method for exam-style;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</w:tbl>
    <w:p>
      <w:pPr>
        <w:pStyle w:val="Heading2"/>
      </w:pPr>
      <w:r>
        <w:t>Feedback bank</w:t>
      </w:r>
    </w:p>
    <w:p>
      <w:pPr>
        <w:pStyle w:val="ListBullet"/>
      </w:pPr>
      <w:r>
        <w:t>WWW: The method is clear and the check is independent.</w:t>
      </w:r>
    </w:p>
    <w:p>
      <w:pPr>
        <w:pStyle w:val="ListBullet"/>
      </w:pPr>
      <w:r>
        <w:t>EBI: Strengthen the explanation by naming the mathematical decision you made first.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