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L062</w:t>
      </w:r>
    </w:p>
    <w:p>
      <w:pPr>
        <w:pStyle w:val="Heading1"/>
        <w:jc w:val="center"/>
      </w:pPr>
      <w:r>
        <w:rPr>
          <w:color w:val="052D57"/>
        </w:rPr>
        <w:t>Teacher guide: Equations from situations</w:t>
      </w:r>
    </w:p>
    <w:p>
      <w:r>
        <w:t>Objective: Translate a situation into equations and interpret solutions in context.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simultaneous equations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equations from situations.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Define variables with units; reject solutions that violate the situation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Form and solve a contextual model, stating assumptions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L062: Equations from situations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Translate a situation into equations and interpret solutions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Three adult tickets and two child tickets cost £37. Adults cost £9 each. Find child price.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rectangle's length is twice its width and its area is 50 cm². Find positive dimensions.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