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L068</w:t>
      </w:r>
    </w:p>
    <w:p>
      <w:pPr>
        <w:pStyle w:val="Heading1"/>
        <w:jc w:val="center"/>
      </w:pPr>
      <w:r>
        <w:rPr>
          <w:color w:val="052D57"/>
        </w:rPr>
        <w:t>Learner workbook: Rates pathway and repair</w:t>
      </w:r>
    </w:p>
    <w:p>
      <w:r>
        <w:t>Objective: Select a proportion or rate method and explain assumptions.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growth decay and compound interest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rates pathway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unit rates and percentages.</w:t>
      </w:r>
    </w:p>
    <w:p>
      <w:pPr>
        <w:pStyle w:val="ListBullet"/>
      </w:pPr>
      <w:r>
        <w:t>Higher: non-linear proportion and iterative growth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rates pathway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car uses 18 litres over 240 km. Express fuel use in litres per 100 km.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distance is fixed. If speed increases by 25%, what happens to journey time?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rates pathway and repair.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L068: Rates pathway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 proportion or rate method and explain assumptions.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car uses 18 litres over 240 km. Express fuel use in litres per 100 km.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distance is fixed. If speed increases by 25%, what happens to journey time?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