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L070</w:t>
      </w:r>
    </w:p>
    <w:p>
      <w:pPr>
        <w:pStyle w:val="Heading1"/>
        <w:jc w:val="center"/>
      </w:pPr>
      <w:r>
        <w:rPr>
          <w:color w:val="052D57"/>
        </w:rPr>
        <w:t>Flipped learning: Area and volume scale factors</w:t>
      </w:r>
    </w:p>
    <w:p>
      <w:r>
        <w:t>Objective: Connect linear scale factors with area and volume change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Two similar solids have lengths ratio 3:4 and smaller surface area 54 cm². Find larger area.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