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L070</w:t>
      </w:r>
    </w:p>
    <w:p>
      <w:pPr>
        <w:pStyle w:val="Heading1"/>
        <w:jc w:val="center"/>
      </w:pPr>
      <w:r>
        <w:rPr>
          <w:color w:val="052D57"/>
        </w:rPr>
        <w:t>Learner workbook: Area and volume scale factors</w:t>
      </w:r>
    </w:p>
    <w:p>
      <w:r>
        <w:t>Objective: Connect linear scale factors with area and volume change at the appropriate tier.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0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similarity and lengths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area and volume scale factors.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revisit length scale and direct area/volume calculation.</w:t>
      </w:r>
    </w:p>
    <w:p>
      <w:pPr>
        <w:pStyle w:val="ListBullet"/>
      </w:pPr>
      <w:r>
        <w:t>Higher: squared and cubed scale factors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area and volume scale factors.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Two similar solids have lengths ratio 3:4 and smaller surface area 54 cm². Find larger area.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Volume ratio of similar solids is 27:64. Find length and area ratios.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area and volume scale factors.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L070: Area and volume scale factors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Connect linear scale factors with area and volume change at the appropriate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Two similar solids have lengths ratio 3:4 and smaller surface area 54 cm². Find larger area.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Volume ratio of similar solids is 27:64. Find length and area ratios.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