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L074</w:t>
      </w:r>
    </w:p>
    <w:p>
      <w:pPr>
        <w:pStyle w:val="Heading1"/>
        <w:jc w:val="center"/>
      </w:pPr>
      <w:r>
        <w:rPr>
          <w:color w:val="052D57"/>
        </w:rPr>
        <w:t>Learner workbook: Dependent events and assumptions</w:t>
      </w:r>
    </w:p>
    <w:p>
      <w:r>
        <w:t>Objective: Recognise dependence and the assumptions behind a probability model.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74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probability trees and combined events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dependent events and assumptions.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Foundation: simple experiments and frequency models.</w:t>
      </w:r>
    </w:p>
    <w:p>
      <w:pPr>
        <w:pStyle w:val="ListBullet"/>
      </w:pPr>
      <w:r>
        <w:t>Higher: without-replacement trees and conditional probability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dependent events and assumptions.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bag holds 5 red and 4 blue. Find P(two blue without replacement).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bag has 4 red and 1 blue. Given the first draw was red, find P(second red without replacement).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dependent events and assumptions.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L074: Dependent events and assumptions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Recognise dependence and the assumptions behind a probability model.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outcomes systematically, used the correct probability rule and checked that the probabilities or frequencies were consistent.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sample space, branch or set reasoning explicitly, state any dependence or condition and check totals before giving the final probability.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bag holds 5 red and 4 blue. Find P(two blue without replacement).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bag has 4 red and 1 blue. Given the first draw was red, find P(second red without replacement).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