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L075</w:t>
      </w:r>
    </w:p>
    <w:p>
      <w:pPr>
        <w:pStyle w:val="Heading1"/>
        <w:jc w:val="center"/>
      </w:pPr>
      <w:r>
        <w:rPr>
          <w:color w:val="052D57"/>
        </w:rPr>
        <w:t>Teacher mark scheme: Frequency trees and probability models</w:t>
      </w:r>
    </w:p>
    <w:p>
      <w:r>
        <w:t>Objective: Interpret frequency trees and compare model predictions with observed data.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