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L078</w:t>
      </w:r>
    </w:p>
    <w:p>
      <w:pPr>
        <w:pStyle w:val="Heading1"/>
        <w:jc w:val="center"/>
      </w:pPr>
      <w:r>
        <w:rPr>
          <w:color w:val="052D57"/>
        </w:rPr>
        <w:t>Learner assessment: Statistical graphs pathway</w:t>
      </w:r>
    </w:p>
    <w:p>
      <w:r>
        <w:t>Objective: Select and interpret statistical graphs appropriate to the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statistical graphs pathway.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histogram class 10–14 has frequency 20 and width 4; class 14–24 has frequency 30 and width 10. Compare densities.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Why must a histogram use area rather than bar height for frequency when widths differ?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graph is drawn for a real context. Interpret the gradient, intercept or area as appropriate. State units and justify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