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L078</w:t>
      </w:r>
    </w:p>
    <w:p>
      <w:pPr>
        <w:pStyle w:val="Heading1"/>
        <w:jc w:val="center"/>
      </w:pPr>
      <w:r>
        <w:rPr>
          <w:color w:val="052D57"/>
        </w:rPr>
        <w:t>Flipped learning: Statistical graphs pathway</w:t>
      </w:r>
    </w:p>
    <w:p>
      <w:r>
        <w:t>Objective: Select and interpret statistical graphs appropriate to the tier.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histogram class 10–14 has frequency 20 and width 4; class 14–24 has frequency 30 and width 10. Compare densities.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