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L078</w:t>
      </w:r>
    </w:p>
    <w:p>
      <w:pPr>
        <w:pStyle w:val="Heading1"/>
        <w:jc w:val="center"/>
      </w:pPr>
      <w:r>
        <w:rPr>
          <w:color w:val="052D57"/>
        </w:rPr>
        <w:t>Knowledge organiser: Statistical graphs pathway</w:t>
      </w:r>
    </w:p>
    <w:p>
      <w:r>
        <w:t>Objective: Select and interpret statistical graphs appropriate to the tier.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charts and grouped summaries.</w:t>
      </w:r>
    </w:p>
    <w:p>
      <w:pPr>
        <w:pStyle w:val="ListBullet"/>
      </w:pPr>
      <w:r>
        <w:t>Higher: cumulative frequency and histograms with unequal intervals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Why must a histogram use area rather than bar height for frequency when widths differ?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