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Learner workbook: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scatter graphs and correlation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statistical graphs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charts and grouped summaries.</w:t>
      </w:r>
    </w:p>
    <w:p>
      <w:pPr>
        <w:pStyle w:val="ListBullet"/>
      </w:pPr>
      <w:r>
        <w:t>Higher: cumulative frequency and histograms with unequal intervals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statistical graphs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histogram class 10–14 has frequency 20 and width 4; class 14–24 has frequency 30 and width 10. Compare densities.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Why must a histogram use area rather than bar height for frequency when widths differ?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L078: Statistical graphs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and interpret statistical graphs appropriate to the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histogram class 10–14 has frequency 20 and width 4; class 14–24 has frequency 30 and width 10. Compare densities.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must a histogram use area rather than bar height for frequency when widths differ?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