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L078</w:t>
      </w:r>
    </w:p>
    <w:p>
      <w:pPr>
        <w:pStyle w:val="Heading1"/>
        <w:jc w:val="center"/>
      </w:pPr>
      <w:r>
        <w:rPr>
          <w:color w:val="052D57"/>
        </w:rPr>
        <w:t>Teacher guide: Statistical graphs pathway</w:t>
      </w:r>
    </w:p>
    <w:p>
      <w:r>
        <w:t>Objective: Select and interpret statistical graphs appropriate to the tier.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Learning Cycle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Teacher move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Evidence to collect</w:t>
            </w:r>
          </w:p>
        </w:tc>
      </w:tr>
      <w:tr>
        <w:tc>
          <w:tcPr>
            <w:tcW w:type="dxa" w:w="2592"/>
          </w:tcPr>
          <w:p>
            <w:r>
              <w:t>Connect &amp; Check</w:t>
            </w:r>
          </w:p>
        </w:tc>
        <w:tc>
          <w:tcPr>
            <w:tcW w:type="dxa" w:w="2592"/>
          </w:tcPr>
          <w:p>
            <w:r>
              <w:t>5 min</w:t>
            </w:r>
          </w:p>
        </w:tc>
        <w:tc>
          <w:tcPr>
            <w:tcW w:type="dxa" w:w="2592"/>
          </w:tcPr>
          <w:p>
            <w:r>
              <w:t>State the objective and timeline. Retrieve scatter graphs and correlation or a prerequisite. Diagnose a common error before modelling.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Share</w:t>
            </w:r>
          </w:p>
        </w:tc>
        <w:tc>
          <w:tcPr>
            <w:tcW w:type="dxa" w:w="2592"/>
          </w:tcPr>
          <w:p>
            <w:r>
              <w:t>7 min</w:t>
            </w:r>
          </w:p>
        </w:tc>
        <w:tc>
          <w:tcPr>
            <w:tcW w:type="dxa" w:w="2592"/>
          </w:tcPr>
          <w:p>
            <w:r>
              <w:t>Pairs compare methods or predict a result for statistical graphs pathway. Ask for a reason, not only an answer.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Present</w:t>
            </w:r>
          </w:p>
        </w:tc>
        <w:tc>
          <w:tcPr>
            <w:tcW w:type="dxa" w:w="2592"/>
          </w:tcPr>
          <w:p>
            <w:r>
              <w:t>10 min</w:t>
            </w:r>
          </w:p>
        </w:tc>
        <w:tc>
          <w:tcPr>
            <w:tcW w:type="dxa" w:w="2592"/>
          </w:tcPr>
          <w:p>
            <w:r>
              <w:t>Foundation: charts and grouped summaries. Higher: cumulative frequency and histograms with unequal intervals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Apply</w:t>
            </w:r>
          </w:p>
        </w:tc>
        <w:tc>
          <w:tcPr>
            <w:tcW w:type="dxa" w:w="2592"/>
          </w:tcPr>
          <w:p>
            <w:r>
              <w:t>25 min</w:t>
            </w:r>
          </w:p>
        </w:tc>
        <w:tc>
          <w:tcPr>
            <w:tcW w:type="dxa" w:w="2592"/>
          </w:tcPr>
          <w:p>
            <w:r>
              <w:t>Construct or interpret a graph, checking scale and frequency meaning Use guided support, then remove it for independent working.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Recall &amp; Review</w:t>
            </w:r>
          </w:p>
        </w:tc>
        <w:tc>
          <w:tcPr>
            <w:tcW w:type="dxa" w:w="2592"/>
          </w:tcPr>
          <w:p>
            <w:r>
              <w:t>8 min</w:t>
            </w:r>
          </w:p>
        </w:tc>
        <w:tc>
          <w:tcPr>
            <w:tcW w:type="dxa" w:w="2592"/>
          </w:tcPr>
          <w:p>
            <w:r>
              <w:t>Revisit the objective. Learners solve a fresh item without prompts, explain a check, correct one error and record the next practice.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</w:tbl>
    <w:p>
      <w:pPr>
        <w:pStyle w:val="Heading2"/>
      </w:pPr>
      <w:r>
        <w:t>Differentiation</w:t>
      </w:r>
    </w:p>
    <w:p>
      <w:pPr>
        <w:pStyle w:val="ListBullet"/>
      </w:pPr>
      <w:r>
        <w:t>All learners reach the same objective; route choice changes the journey, not the standard.</w:t>
      </w:r>
    </w:p>
    <w:p>
      <w:pPr>
        <w:pStyle w:val="ListBullet"/>
      </w:pPr>
      <w:r>
        <w:t>Use visual, method and explanation routes to support access.</w:t>
      </w:r>
    </w:p>
    <w:p>
      <w:pPr>
        <w:pStyle w:val="ListBullet"/>
      </w:pPr>
      <w:r>
        <w:t>Remove prompts before exit evidence.</w:t>
      </w:r>
    </w:p>
    <w:p>
      <w:pPr>
        <w:pStyle w:val="ListBullet"/>
      </w:pPr>
      <w:r>
        <w:t>Use stretch and deep challenge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Check the formative mini-test and independent workbook response against the objective. Use the teacher answers or mark guidance; group errors for reteaching. NC/C selected to purpose; label each question.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L078: Statistical graphs pathway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Select and interpret statistical graphs appropriate to the tier.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read or constructed the graph accurately, used the scale and axes correctly and linked the relevant gradient, intercept, shape or trend to my conclusion.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label units and scale clearly, show the calculation or graphical evidence I used and check that the interpretation fits the context.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histogram class 10–14 has frequency 20 and width 4; class 14–24 has frequency 30 and width 10. Compare densities.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Why must a histogram use area rather than bar height for frequency when widths differ?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NC/C selected to purpose; label each question.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