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L079</w:t>
      </w:r>
    </w:p>
    <w:p>
      <w:pPr>
        <w:pStyle w:val="Heading1"/>
        <w:jc w:val="center"/>
      </w:pPr>
      <w:r>
        <w:rPr>
          <w:color w:val="052D57"/>
        </w:rPr>
        <w:t>Learner workbook: Comparing distributions pathway</w:t>
      </w:r>
    </w:p>
    <w:p>
      <w:r>
        <w:t>Objective: Compare distributions using suitable statistics and graphical evidence.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79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statistical graphs pathway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comparing distributions pathway.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Foundation: mean, median and range.</w:t>
      </w:r>
    </w:p>
    <w:p>
      <w:pPr>
        <w:pStyle w:val="ListBullet"/>
      </w:pPr>
      <w:r>
        <w:t>Higher: quartiles, interquartile range and box plots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comparing distributions pathway.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Group A has Q1=7,Q3=19; group B has Q1=10,Q3=17. Compare IQRs.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Can one distribution have both a higher median and a larger IQR than another? Explain the practical interpretation.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comparing distributions pathway.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L079: Comparing distributions pathway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Compare distributions using suitable statistics and graphical evidence.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read or constructed the graph accurately, used the scale and axes correctly and linked the relevant gradient, intercept, shape or trend to my conclusion.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label units and scale clearly, show the calculation or graphical evidence I used and check that the interpretation fits the context.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Group A has Q1=7,Q3=19; group B has Q1=10,Q3=17. Compare IQRs.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Can one distribution have both a higher median and a larger IQR than another? Explain the practical interpretation.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