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L079</w:t>
      </w:r>
    </w:p>
    <w:p>
      <w:pPr>
        <w:pStyle w:val="Heading1"/>
        <w:jc w:val="center"/>
      </w:pPr>
      <w:r>
        <w:rPr>
          <w:color w:val="052D57"/>
        </w:rPr>
        <w:t>Teacher guide: Comparing distributions pathway</w:t>
      </w:r>
    </w:p>
    <w:p>
      <w:r>
        <w:t>Objective: Compare distributions using suitable statistics and graphical evidence.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Learning Cycle plan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Stage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Time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Teacher move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Evidence to collect</w:t>
            </w:r>
          </w:p>
        </w:tc>
      </w:tr>
      <w:tr>
        <w:tc>
          <w:tcPr>
            <w:tcW w:type="dxa" w:w="2592"/>
          </w:tcPr>
          <w:p>
            <w:r>
              <w:t>Connect &amp; Check</w:t>
            </w:r>
          </w:p>
        </w:tc>
        <w:tc>
          <w:tcPr>
            <w:tcW w:type="dxa" w:w="2592"/>
          </w:tcPr>
          <w:p>
            <w:r>
              <w:t>5 min</w:t>
            </w:r>
          </w:p>
        </w:tc>
        <w:tc>
          <w:tcPr>
            <w:tcW w:type="dxa" w:w="2592"/>
          </w:tcPr>
          <w:p>
            <w:r>
              <w:t>State the objective and timeline. Retrieve statistical graphs pathway or a prerequisite. Diagnose a common error before modelling.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Share</w:t>
            </w:r>
          </w:p>
        </w:tc>
        <w:tc>
          <w:tcPr>
            <w:tcW w:type="dxa" w:w="2592"/>
          </w:tcPr>
          <w:p>
            <w:r>
              <w:t>7 min</w:t>
            </w:r>
          </w:p>
        </w:tc>
        <w:tc>
          <w:tcPr>
            <w:tcW w:type="dxa" w:w="2592"/>
          </w:tcPr>
          <w:p>
            <w:r>
              <w:t>Pairs compare methods or predict a result for comparing distributions pathway. Ask for a reason, not only an answer.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Present</w:t>
            </w:r>
          </w:p>
        </w:tc>
        <w:tc>
          <w:tcPr>
            <w:tcW w:type="dxa" w:w="2592"/>
          </w:tcPr>
          <w:p>
            <w:r>
              <w:t>10 min</w:t>
            </w:r>
          </w:p>
        </w:tc>
        <w:tc>
          <w:tcPr>
            <w:tcW w:type="dxa" w:w="2592"/>
          </w:tcPr>
          <w:p>
            <w:r>
              <w:t>Foundation: mean, median and range. Higher: quartiles, interquartile range and box plots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Apply</w:t>
            </w:r>
          </w:p>
        </w:tc>
        <w:tc>
          <w:tcPr>
            <w:tcW w:type="dxa" w:w="2592"/>
          </w:tcPr>
          <w:p>
            <w:r>
              <w:t>25 min</w:t>
            </w:r>
          </w:p>
        </w:tc>
        <w:tc>
          <w:tcPr>
            <w:tcW w:type="dxa" w:w="2592"/>
          </w:tcPr>
          <w:p>
            <w:r>
              <w:t>Write a contextual comparison supported by centre and spread Use guided support, then remove it for independent working.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  <w:tr>
        <w:tc>
          <w:tcPr>
            <w:tcW w:type="dxa" w:w="2592"/>
          </w:tcPr>
          <w:p>
            <w:r>
              <w:t>Recall &amp; Review</w:t>
            </w:r>
          </w:p>
        </w:tc>
        <w:tc>
          <w:tcPr>
            <w:tcW w:type="dxa" w:w="2592"/>
          </w:tcPr>
          <w:p>
            <w:r>
              <w:t>8 min</w:t>
            </w:r>
          </w:p>
        </w:tc>
        <w:tc>
          <w:tcPr>
            <w:tcW w:type="dxa" w:w="2592"/>
          </w:tcPr>
          <w:p>
            <w:r>
              <w:t>Revisit the objective. Learners solve a fresh item without prompts, explain a check, correct one error and record the next practice.</w:t>
            </w:r>
          </w:p>
        </w:tc>
        <w:tc>
          <w:tcPr>
            <w:tcW w:type="dxa" w:w="2592"/>
          </w:tcPr>
          <w:p>
            <w:r>
              <w:t>Independent written response, correction or verbal explanation.</w:t>
            </w:r>
          </w:p>
        </w:tc>
      </w:tr>
    </w:tbl>
    <w:p>
      <w:pPr>
        <w:pStyle w:val="Heading2"/>
      </w:pPr>
      <w:r>
        <w:t>Differentiation</w:t>
      </w:r>
    </w:p>
    <w:p>
      <w:pPr>
        <w:pStyle w:val="ListBullet"/>
      </w:pPr>
      <w:r>
        <w:t>All learners reach the same objective; route choice changes the journey, not the standard.</w:t>
      </w:r>
    </w:p>
    <w:p>
      <w:pPr>
        <w:pStyle w:val="ListBullet"/>
      </w:pPr>
      <w:r>
        <w:t>Use visual, method and explanation routes to support access.</w:t>
      </w:r>
    </w:p>
    <w:p>
      <w:pPr>
        <w:pStyle w:val="ListBullet"/>
      </w:pPr>
      <w:r>
        <w:t>Remove prompts before exit evidence.</w:t>
      </w:r>
    </w:p>
    <w:p>
      <w:pPr>
        <w:pStyle w:val="ListBullet"/>
      </w:pPr>
      <w:r>
        <w:t>Use stretch and deep challenge only after the core method is secure.</w:t>
      </w:r>
    </w:p>
    <w:p>
      <w:pPr>
        <w:pStyle w:val="Heading2"/>
      </w:pPr>
      <w:r>
        <w:t>Assessment response</w:t>
      </w:r>
    </w:p>
    <w:p>
      <w:pPr>
        <w:pStyle w:val="ListBullet"/>
      </w:pPr>
      <w:r>
        <w:t>Check the formative mini-test and independent workbook response against the objective. Use the teacher answers or mark guidance; group errors for reteaching. NC/C selected to purpose; label each question.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L079: Comparing distributions pathway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Compare distributions using suitable statistics and graphical evidence.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read or constructed the graph accurately, used the scale and axes correctly and linked the relevant gradient, intercept, shape or trend to my conclusion.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label units and scale clearly, show the calculation or graphical evidence I used and check that the interpretation fits the context.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Group A has Q1=7,Q3=19; group B has Q1=10,Q3=17. Compare IQRs.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Can one distribution have both a higher median and a larger IQR than another? Explain the practical interpretation.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NC/C selected to purpose; label each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