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L083</w:t>
      </w:r>
    </w:p>
    <w:p>
      <w:pPr>
        <w:pStyle w:val="Heading1"/>
        <w:jc w:val="center"/>
      </w:pPr>
      <w:r>
        <w:rPr>
          <w:color w:val="052D57"/>
        </w:rPr>
        <w:t>Learner workbook: Vector reasoning pathway</w:t>
      </w:r>
    </w:p>
    <w:p>
      <w:r>
        <w:t>Objective: Reason with vectors at the appropriate tier.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83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vectors and translations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vector reasoning pathway.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Foundation: translations and vector arithmetic.</w:t>
      </w:r>
    </w:p>
    <w:p>
      <w:pPr>
        <w:pStyle w:val="ListBullet"/>
      </w:pPr>
      <w:r>
        <w:t>Higher: geometric vector arguments, parallelism and division of lines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vector reasoning pathway.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If a=(4,−1) and b=(−2,5), find 3a+2b.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Prove vector AB+BC=AC for A=(1,1),B=(4,3),C=(7,−2).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vector reasoning pathway.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L083: Vector reasoning pathway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Reason with vectors at the appropriate tier.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If a=(4,−1) and b=(−2,5), find 3a+2b.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Prove vector AB+BC=AC for A=(1,1),B=(4,3),C=(7,−2).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