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L083</w:t>
      </w:r>
    </w:p>
    <w:p>
      <w:pPr>
        <w:pStyle w:val="Heading1"/>
        <w:jc w:val="center"/>
      </w:pPr>
      <w:r>
        <w:rPr>
          <w:color w:val="052D57"/>
        </w:rPr>
        <w:t>Teacher mark scheme: Vector reasoning pathway</w:t>
      </w:r>
    </w:p>
    <w:p>
      <w:r>
        <w:t>Objective: Reason with vectors at the appropriate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