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L086</w:t>
      </w:r>
    </w:p>
    <w:p>
      <w:pPr>
        <w:pStyle w:val="Heading1"/>
        <w:jc w:val="center"/>
      </w:pPr>
      <w:r>
        <w:rPr>
          <w:color w:val="052D57"/>
        </w:rPr>
        <w:t>Teacher mark scheme: Graph transformations pathway</w:t>
      </w:r>
    </w:p>
    <w:p>
      <w:r>
        <w:t>Objective: Interpret changes to graphs at the appropriate tier.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