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L089</w:t>
      </w:r>
    </w:p>
    <w:p>
      <w:pPr>
        <w:pStyle w:val="Heading1"/>
        <w:jc w:val="center"/>
      </w:pPr>
      <w:r>
        <w:rPr>
          <w:color w:val="052D57"/>
        </w:rPr>
        <w:t>Knowledge organiser: Rates from graphs pathway</w:t>
      </w:r>
    </w:p>
    <w:p>
      <w:r>
        <w:t>Objective: Interpret rates and areas from graphs at the appropriate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straight-line rates and simple speed graphs.</w:t>
      </w:r>
    </w:p>
    <w:p>
      <w:pPr>
        <w:pStyle w:val="ListBullet"/>
      </w:pPr>
      <w:r>
        <w:t>Higher: tangents and estimates of area under curves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velocity-time graph dips below the time axis. What does negative area mean?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