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L089</w:t>
      </w:r>
    </w:p>
    <w:p>
      <w:pPr>
        <w:pStyle w:val="Heading1"/>
        <w:jc w:val="center"/>
      </w:pPr>
      <w:r>
        <w:rPr>
          <w:color w:val="052D57"/>
        </w:rPr>
        <w:t>Teacher mark scheme: Rates from graphs pathway</w:t>
      </w:r>
    </w:p>
    <w:p>
      <w:r>
        <w:t>Objective: Interpret rates and areas from graphs at the appropriate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