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960120" cy="48006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Reach-for-the-Star-logo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960120" cy="48006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jc w:val="center"/>
      </w:pPr>
      <w:r>
        <w:rPr>
          <w:b/>
          <w:color w:val="052D57"/>
          <w:sz w:val="20"/>
        </w:rPr>
        <w:t>Reach for the Star | GCSE Mathematics 1MA1 | L091</w:t>
      </w:r>
    </w:p>
    <w:p>
      <w:pPr>
        <w:pStyle w:val="Heading1"/>
        <w:jc w:val="center"/>
      </w:pPr>
      <w:r>
        <w:rPr>
          <w:color w:val="052D57"/>
        </w:rPr>
        <w:t>Teacher mark scheme: Proof and algebraic structure</w:t>
      </w:r>
    </w:p>
    <w:p>
      <w:r>
        <w:t>Objective: Explain algebraic structure and build a logical argument.</w:t>
      </w:r>
    </w:p>
    <w:p>
      <w:r>
        <w:t>Calculator condition: Non-calculator core; calculator optional only for checking where labelled.</w:t>
      </w:r>
    </w:p>
    <w:p>
      <w:pPr>
        <w:pStyle w:val="Heading2"/>
      </w:pPr>
      <w:r>
        <w:t>Answers and marking guidance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592"/>
        <w:gridCol w:w="2592"/>
        <w:gridCol w:w="2592"/>
        <w:gridCol w:w="2592"/>
      </w:tblGrid>
      <w:tr>
        <w:tc>
          <w:tcPr>
            <w:tcW w:type="dxa" w:w="2592"/>
            <w:vAlign w:val="center"/>
            <w:shd w:fill="0A2D57"/>
          </w:tcPr>
          <w:p>
            <w:r>
              <w:rPr>
                <w:b/>
                <w:color w:val="FFFFFF"/>
                <w:sz w:val="18"/>
              </w:rPr>
              <w:t>Question</w:t>
            </w:r>
          </w:p>
        </w:tc>
        <w:tc>
          <w:tcPr>
            <w:tcW w:type="dxa" w:w="2592"/>
            <w:vAlign w:val="center"/>
            <w:shd w:fill="0A2D57"/>
          </w:tcPr>
          <w:p>
            <w:r>
              <w:rPr>
                <w:b/>
                <w:color w:val="FFFFFF"/>
                <w:sz w:val="18"/>
              </w:rPr>
              <w:t>Expected evidence</w:t>
            </w:r>
          </w:p>
        </w:tc>
        <w:tc>
          <w:tcPr>
            <w:tcW w:type="dxa" w:w="2592"/>
            <w:vAlign w:val="center"/>
            <w:shd w:fill="0A2D57"/>
          </w:tcPr>
          <w:p>
            <w:r>
              <w:rPr>
                <w:b/>
                <w:color w:val="FFFFFF"/>
                <w:sz w:val="18"/>
              </w:rPr>
              <w:t>Marks</w:t>
            </w:r>
          </w:p>
        </w:tc>
        <w:tc>
          <w:tcPr>
            <w:tcW w:type="dxa" w:w="2592"/>
            <w:vAlign w:val="center"/>
            <w:shd w:fill="0A2D57"/>
          </w:tcPr>
          <w:p>
            <w:r>
              <w:rPr>
                <w:b/>
                <w:color w:val="FFFFFF"/>
                <w:sz w:val="18"/>
              </w:rPr>
              <w:t>Response</w:t>
            </w:r>
          </w:p>
        </w:tc>
      </w:tr>
      <w:tr>
        <w:tc>
          <w:tcPr>
            <w:tcW w:type="dxa" w:w="2592"/>
          </w:tcPr>
          <w:p>
            <w:r>
              <w:t>1</w:t>
            </w:r>
          </w:p>
        </w:tc>
        <w:tc>
          <w:tcPr>
            <w:tcW w:type="dxa" w:w="2592"/>
          </w:tcPr>
          <w:p>
            <w:r>
              <w:t>Valid method for recall; accurate answer; check/explanation linked to the question.</w:t>
            </w:r>
          </w:p>
        </w:tc>
        <w:tc>
          <w:tcPr>
            <w:tcW w:type="dxa" w:w="2592"/>
          </w:tcPr>
          <w:p>
            <w:r>
              <w:t>2-4</w:t>
            </w:r>
          </w:p>
        </w:tc>
        <w:tc>
          <w:tcPr>
            <w:tcW w:type="dxa" w:w="2592"/>
          </w:tcPr>
          <w:p>
            <w:r>
              <w:t>If the first decision is wrong, reteach the representation before calculation.</w:t>
            </w:r>
          </w:p>
        </w:tc>
      </w:tr>
      <w:tr>
        <w:tc>
          <w:tcPr>
            <w:tcW w:type="dxa" w:w="2592"/>
          </w:tcPr>
          <w:p>
            <w:r>
              <w:t>2</w:t>
            </w:r>
          </w:p>
        </w:tc>
        <w:tc>
          <w:tcPr>
            <w:tcW w:type="dxa" w:w="2592"/>
          </w:tcPr>
          <w:p>
            <w:r>
              <w:t>Valid method for core practice; accurate answer; check/explanation linked to the question.</w:t>
            </w:r>
          </w:p>
        </w:tc>
        <w:tc>
          <w:tcPr>
            <w:tcW w:type="dxa" w:w="2592"/>
          </w:tcPr>
          <w:p>
            <w:r>
              <w:t>2-4</w:t>
            </w:r>
          </w:p>
        </w:tc>
        <w:tc>
          <w:tcPr>
            <w:tcW w:type="dxa" w:w="2592"/>
          </w:tcPr>
          <w:p>
            <w:r>
              <w:t>If the first decision is wrong, reteach the representation before calculation.</w:t>
            </w:r>
          </w:p>
        </w:tc>
      </w:tr>
      <w:tr>
        <w:tc>
          <w:tcPr>
            <w:tcW w:type="dxa" w:w="2592"/>
          </w:tcPr>
          <w:p>
            <w:r>
              <w:t>3</w:t>
            </w:r>
          </w:p>
        </w:tc>
        <w:tc>
          <w:tcPr>
            <w:tcW w:type="dxa" w:w="2592"/>
          </w:tcPr>
          <w:p>
            <w:r>
              <w:t>Valid method for reasoning; accurate answer; check/explanation linked to the question.</w:t>
            </w:r>
          </w:p>
        </w:tc>
        <w:tc>
          <w:tcPr>
            <w:tcW w:type="dxa" w:w="2592"/>
          </w:tcPr>
          <w:p>
            <w:r>
              <w:t>2-4</w:t>
            </w:r>
          </w:p>
        </w:tc>
        <w:tc>
          <w:tcPr>
            <w:tcW w:type="dxa" w:w="2592"/>
          </w:tcPr>
          <w:p>
            <w:r>
              <w:t>If the first decision is wrong, reteach the representation before calculation.</w:t>
            </w:r>
          </w:p>
        </w:tc>
      </w:tr>
      <w:tr>
        <w:tc>
          <w:tcPr>
            <w:tcW w:type="dxa" w:w="2592"/>
          </w:tcPr>
          <w:p>
            <w:r>
              <w:t>4</w:t>
            </w:r>
          </w:p>
        </w:tc>
        <w:tc>
          <w:tcPr>
            <w:tcW w:type="dxa" w:w="2592"/>
          </w:tcPr>
          <w:p>
            <w:r>
              <w:t>Valid method for exam-style; accurate answer; check/explanation linked to the question.</w:t>
            </w:r>
          </w:p>
        </w:tc>
        <w:tc>
          <w:tcPr>
            <w:tcW w:type="dxa" w:w="2592"/>
          </w:tcPr>
          <w:p>
            <w:r>
              <w:t>2-4</w:t>
            </w:r>
          </w:p>
        </w:tc>
        <w:tc>
          <w:tcPr>
            <w:tcW w:type="dxa" w:w="2592"/>
          </w:tcPr>
          <w:p>
            <w:r>
              <w:t>If the first decision is wrong, reteach the representation before calculation.</w:t>
            </w:r>
          </w:p>
        </w:tc>
      </w:tr>
    </w:tbl>
    <w:p>
      <w:pPr>
        <w:pStyle w:val="Heading2"/>
      </w:pPr>
      <w:r>
        <w:t>Feedback bank</w:t>
      </w:r>
    </w:p>
    <w:p>
      <w:pPr>
        <w:pStyle w:val="ListBullet"/>
      </w:pPr>
      <w:r>
        <w:t>WWW: The method is clear and the check is independent.</w:t>
      </w:r>
    </w:p>
    <w:p>
      <w:pPr>
        <w:pStyle w:val="ListBullet"/>
      </w:pPr>
      <w:r>
        <w:t>EBI: Strengthen the explanation by naming the mathematical decision you made first.</w:t>
      </w:r>
    </w:p>
    <w:sectPr w:rsidR="00FC693F" w:rsidRPr="0006063C" w:rsidSect="00034616">
      <w:pgSz w:w="12240" w:h="15840"/>
      <w:pgMar w:top="792" w:right="936" w:bottom="792" w:left="93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