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960120" cy="48006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Reach-for-the-Star-logo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960120" cy="48006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  <w:color w:val="052D57"/>
          <w:sz w:val="20"/>
        </w:rPr>
        <w:t>Reach for the Star | GCSE Mathematics 1MA1 | L092</w:t>
      </w:r>
    </w:p>
    <w:p>
      <w:pPr>
        <w:pStyle w:val="Heading1"/>
        <w:jc w:val="center"/>
      </w:pPr>
      <w:r>
        <w:rPr>
          <w:color w:val="052D57"/>
        </w:rPr>
        <w:t>Knowledge organiser: Mixed modelling and checking</w:t>
      </w:r>
    </w:p>
    <w:p>
      <w:r>
        <w:t>Objective: Form a mathematical model, solve it and interpret its limitations.</w:t>
      </w:r>
    </w:p>
    <w:p>
      <w:r>
        <w:t>Calculator condition: Non-calculator core; calculator optional only for checking where labelled.</w:t>
      </w:r>
    </w:p>
    <w:p>
      <w:r>
        <w:drawing>
          <wp:inline xmlns:a="http://schemas.openxmlformats.org/drawingml/2006/main" xmlns:pic="http://schemas.openxmlformats.org/drawingml/2006/picture">
            <wp:extent cx="5303520" cy="298323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L092-visual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303520" cy="298323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Heading2"/>
      </w:pPr>
      <w:r>
        <w:t>Core knowledge</w:t>
      </w:r>
    </w:p>
    <w:p>
      <w:pPr>
        <w:pStyle w:val="ListBullet"/>
      </w:pPr>
      <w:r>
        <w:t>Compare models for a situation; identify assumptions and check reasonableness</w:t>
      </w:r>
    </w:p>
    <w:p>
      <w:pPr>
        <w:pStyle w:val="Heading2"/>
      </w:pPr>
      <w:r>
        <w:t>Method checklist</w:t>
      </w:r>
    </w:p>
    <w:p>
      <w:pPr>
        <w:pStyle w:val="ListBullet"/>
      </w:pPr>
      <w:r>
        <w:t>Identify what the question is asking.</w:t>
      </w:r>
    </w:p>
    <w:p>
      <w:pPr>
        <w:pStyle w:val="ListBullet"/>
      </w:pPr>
      <w:r>
        <w:t>Choose the relevant representation or method.</w:t>
      </w:r>
    </w:p>
    <w:p>
      <w:pPr>
        <w:pStyle w:val="ListBullet"/>
      </w:pPr>
      <w:r>
        <w:t>Show working clearly and label units.</w:t>
      </w:r>
    </w:p>
    <w:p>
      <w:pPr>
        <w:pStyle w:val="ListBullet"/>
      </w:pPr>
      <w:r>
        <w:t>Check the answer against the original context.</w:t>
      </w:r>
    </w:p>
    <w:p>
      <w:pPr>
        <w:pStyle w:val="ListBullet"/>
      </w:pPr>
      <w:r>
        <w:t>Write one sentence explaining why the answer is reasonable.</w:t>
      </w:r>
    </w:p>
    <w:p>
      <w:pPr>
        <w:pStyle w:val="Heading2"/>
      </w:pPr>
      <w:r>
        <w:t>Common error to avoid</w:t>
      </w:r>
    </w:p>
    <w:p>
      <w:pPr>
        <w:pStyle w:val="ListBullet"/>
      </w:pPr>
      <w:r>
        <w:t>A rectangle has perimeter 40 cm. Express area in terms of width x and find width for length 12 cm.</w:t>
      </w:r>
    </w:p>
    <w:sectPr w:rsidR="00FC693F" w:rsidRPr="0006063C" w:rsidSect="00034616">
      <w:pgSz w:w="12240" w:h="15840"/>
      <w:pgMar w:top="792" w:right="936" w:bottom="792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