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L092</w:t>
      </w:r>
    </w:p>
    <w:p>
      <w:pPr>
        <w:pStyle w:val="Heading1"/>
        <w:jc w:val="center"/>
      </w:pPr>
      <w:r>
        <w:rPr>
          <w:color w:val="052D57"/>
        </w:rPr>
        <w:t>Teacher mark scheme: Mixed modelling and checking</w:t>
      </w:r>
    </w:p>
    <w:p>
      <w:r>
        <w:t>Objective: Form a mathematical model, solve it and interpret its limitations.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