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L096</w:t>
      </w:r>
    </w:p>
    <w:p>
      <w:pPr>
        <w:pStyle w:val="Heading1"/>
        <w:jc w:val="center"/>
      </w:pPr>
      <w:r>
        <w:rPr>
          <w:color w:val="052D57"/>
        </w:rPr>
        <w:t>Flipped learning: Coverage diagnostic and repair</w:t>
      </w:r>
    </w:p>
    <w:p>
      <w:r>
        <w:t>Objective: Identify remaining coverage gaps and set a targeted repair plan.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Before the lesson</w:t>
      </w:r>
    </w:p>
    <w:p>
      <w:pPr>
        <w:pStyle w:val="ListBullet"/>
      </w:pPr>
      <w:r>
        <w:t>Read the objective.</w:t>
      </w:r>
    </w:p>
    <w:p>
      <w:pPr>
        <w:pStyle w:val="ListBullet"/>
      </w:pPr>
      <w:r>
        <w:t>Attempt the baseline task without notes.</w:t>
      </w:r>
    </w:p>
    <w:p>
      <w:pPr>
        <w:pStyle w:val="ListBullet"/>
      </w:pPr>
      <w:r>
        <w:t>Bring one question to Connect &amp; Check.</w:t>
      </w:r>
    </w:p>
    <w:p>
      <w:r>
        <w:t>Baseline task: Find area of a triangle with base 14 cm and height 9 cm, and P(red) from 7 red and 5 blue.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