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L096</w:t>
      </w:r>
    </w:p>
    <w:p>
      <w:pPr>
        <w:pStyle w:val="Heading1"/>
        <w:jc w:val="center"/>
      </w:pPr>
      <w:r>
        <w:rPr>
          <w:color w:val="052D57"/>
        </w:rPr>
        <w:t>Teacher mark scheme: Coverage diagnostic and repair</w:t>
      </w:r>
    </w:p>
    <w:p>
      <w:r>
        <w:t>Objective: Identify remaining coverage gaps and set a targeted repair plan.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