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960120" cy="48006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Reach-for-the-Star-logo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960120" cy="4800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  <w:color w:val="052D57"/>
          <w:sz w:val="20"/>
        </w:rPr>
        <w:t>Reach for the Star | GCSE Mathematics 1MA1 | L099</w:t>
      </w:r>
    </w:p>
    <w:p>
      <w:pPr>
        <w:pStyle w:val="Heading1"/>
        <w:jc w:val="center"/>
      </w:pPr>
      <w:r>
        <w:rPr>
          <w:color w:val="052D57"/>
        </w:rPr>
        <w:t>Teacher mark scheme: Mock paper 3 calculator</w:t>
      </w:r>
    </w:p>
    <w:p>
      <w:r>
        <w:t>Objective: Apply the chosen tier’s content independently in mock Paper 3.</w:t>
      </w:r>
    </w:p>
    <w:p>
      <w:r>
        <w:t>Calculator condition: Calculator allowed where labelled; non-calculator reasoning remains required.</w:t>
      </w:r>
    </w:p>
    <w:p>
      <w:pPr>
        <w:pStyle w:val="Heading2"/>
      </w:pPr>
      <w:r>
        <w:t>Answers and marking guidance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592"/>
        <w:gridCol w:w="2592"/>
        <w:gridCol w:w="2592"/>
        <w:gridCol w:w="2592"/>
      </w:tblGrid>
      <w:tr>
        <w:tc>
          <w:tcPr>
            <w:tcW w:type="dxa" w:w="2592"/>
            <w:vAlign w:val="center"/>
            <w:shd w:fill="0A2D57"/>
          </w:tcPr>
          <w:p>
            <w:r>
              <w:rPr>
                <w:b/>
                <w:color w:val="FFFFFF"/>
                <w:sz w:val="18"/>
              </w:rPr>
              <w:t>Question</w:t>
            </w:r>
          </w:p>
        </w:tc>
        <w:tc>
          <w:tcPr>
            <w:tcW w:type="dxa" w:w="2592"/>
            <w:vAlign w:val="center"/>
            <w:shd w:fill="0A2D57"/>
          </w:tcPr>
          <w:p>
            <w:r>
              <w:rPr>
                <w:b/>
                <w:color w:val="FFFFFF"/>
                <w:sz w:val="18"/>
              </w:rPr>
              <w:t>Expected evidence</w:t>
            </w:r>
          </w:p>
        </w:tc>
        <w:tc>
          <w:tcPr>
            <w:tcW w:type="dxa" w:w="2592"/>
            <w:vAlign w:val="center"/>
            <w:shd w:fill="0A2D57"/>
          </w:tcPr>
          <w:p>
            <w:r>
              <w:rPr>
                <w:b/>
                <w:color w:val="FFFFFF"/>
                <w:sz w:val="18"/>
              </w:rPr>
              <w:t>Marks</w:t>
            </w:r>
          </w:p>
        </w:tc>
        <w:tc>
          <w:tcPr>
            <w:tcW w:type="dxa" w:w="2592"/>
            <w:vAlign w:val="center"/>
            <w:shd w:fill="0A2D57"/>
          </w:tcPr>
          <w:p>
            <w:r>
              <w:rPr>
                <w:b/>
                <w:color w:val="FFFFFF"/>
                <w:sz w:val="18"/>
              </w:rPr>
              <w:t>Response</w:t>
            </w:r>
          </w:p>
        </w:tc>
      </w:tr>
      <w:tr>
        <w:tc>
          <w:tcPr>
            <w:tcW w:type="dxa" w:w="2592"/>
          </w:tcPr>
          <w:p>
            <w:r>
              <w:t>1</w:t>
            </w:r>
          </w:p>
        </w:tc>
        <w:tc>
          <w:tcPr>
            <w:tcW w:type="dxa" w:w="2592"/>
          </w:tcPr>
          <w:p>
            <w:r>
              <w:t>Valid method for recall; accurate answer; check/explanation linked to the question.</w:t>
            </w:r>
          </w:p>
        </w:tc>
        <w:tc>
          <w:tcPr>
            <w:tcW w:type="dxa" w:w="2592"/>
          </w:tcPr>
          <w:p>
            <w:r>
              <w:t>2-4</w:t>
            </w:r>
          </w:p>
        </w:tc>
        <w:tc>
          <w:tcPr>
            <w:tcW w:type="dxa" w:w="2592"/>
          </w:tcPr>
          <w:p>
            <w:r>
              <w:t>If the first decision is wrong, reteach the representation before calculation.</w:t>
            </w:r>
          </w:p>
        </w:tc>
      </w:tr>
      <w:tr>
        <w:tc>
          <w:tcPr>
            <w:tcW w:type="dxa" w:w="2592"/>
          </w:tcPr>
          <w:p>
            <w:r>
              <w:t>2</w:t>
            </w:r>
          </w:p>
        </w:tc>
        <w:tc>
          <w:tcPr>
            <w:tcW w:type="dxa" w:w="2592"/>
          </w:tcPr>
          <w:p>
            <w:r>
              <w:t>Valid method for core practice; accurate answer; check/explanation linked to the question.</w:t>
            </w:r>
          </w:p>
        </w:tc>
        <w:tc>
          <w:tcPr>
            <w:tcW w:type="dxa" w:w="2592"/>
          </w:tcPr>
          <w:p>
            <w:r>
              <w:t>2-4</w:t>
            </w:r>
          </w:p>
        </w:tc>
        <w:tc>
          <w:tcPr>
            <w:tcW w:type="dxa" w:w="2592"/>
          </w:tcPr>
          <w:p>
            <w:r>
              <w:t>If the first decision is wrong, reteach the representation before calculation.</w:t>
            </w:r>
          </w:p>
        </w:tc>
      </w:tr>
      <w:tr>
        <w:tc>
          <w:tcPr>
            <w:tcW w:type="dxa" w:w="2592"/>
          </w:tcPr>
          <w:p>
            <w:r>
              <w:t>3</w:t>
            </w:r>
          </w:p>
        </w:tc>
        <w:tc>
          <w:tcPr>
            <w:tcW w:type="dxa" w:w="2592"/>
          </w:tcPr>
          <w:p>
            <w:r>
              <w:t>Valid method for reasoning; accurate answer; check/explanation linked to the question.</w:t>
            </w:r>
          </w:p>
        </w:tc>
        <w:tc>
          <w:tcPr>
            <w:tcW w:type="dxa" w:w="2592"/>
          </w:tcPr>
          <w:p>
            <w:r>
              <w:t>2-4</w:t>
            </w:r>
          </w:p>
        </w:tc>
        <w:tc>
          <w:tcPr>
            <w:tcW w:type="dxa" w:w="2592"/>
          </w:tcPr>
          <w:p>
            <w:r>
              <w:t>If the first decision is wrong, reteach the representation before calculation.</w:t>
            </w:r>
          </w:p>
        </w:tc>
      </w:tr>
      <w:tr>
        <w:tc>
          <w:tcPr>
            <w:tcW w:type="dxa" w:w="2592"/>
          </w:tcPr>
          <w:p>
            <w:r>
              <w:t>4</w:t>
            </w:r>
          </w:p>
        </w:tc>
        <w:tc>
          <w:tcPr>
            <w:tcW w:type="dxa" w:w="2592"/>
          </w:tcPr>
          <w:p>
            <w:r>
              <w:t>Valid method for exam-style; accurate answer; check/explanation linked to the question.</w:t>
            </w:r>
          </w:p>
        </w:tc>
        <w:tc>
          <w:tcPr>
            <w:tcW w:type="dxa" w:w="2592"/>
          </w:tcPr>
          <w:p>
            <w:r>
              <w:t>2-4</w:t>
            </w:r>
          </w:p>
        </w:tc>
        <w:tc>
          <w:tcPr>
            <w:tcW w:type="dxa" w:w="2592"/>
          </w:tcPr>
          <w:p>
            <w:r>
              <w:t>If the first decision is wrong, reteach the representation before calculation.</w:t>
            </w:r>
          </w:p>
        </w:tc>
      </w:tr>
    </w:tbl>
    <w:p>
      <w:pPr>
        <w:pStyle w:val="Heading2"/>
      </w:pPr>
      <w:r>
        <w:t>Feedback bank</w:t>
      </w:r>
    </w:p>
    <w:p>
      <w:pPr>
        <w:pStyle w:val="ListBullet"/>
      </w:pPr>
      <w:r>
        <w:t>WWW: The method is clear and the check is independent.</w:t>
      </w:r>
    </w:p>
    <w:p>
      <w:pPr>
        <w:pStyle w:val="ListBullet"/>
      </w:pPr>
      <w:r>
        <w:t>EBI: Strengthen the explanation by naming the mathematical decision you made first.</w:t>
      </w:r>
    </w:p>
    <w:sectPr w:rsidR="00FC693F" w:rsidRPr="0006063C" w:rsidSect="00034616"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