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L101</w:t>
      </w:r>
    </w:p>
    <w:p>
      <w:pPr>
        <w:pStyle w:val="Heading1"/>
        <w:jc w:val="center"/>
      </w:pPr>
      <w:r>
        <w:rPr>
          <w:color w:val="052D57"/>
        </w:rPr>
        <w:t>Knowledge organiser: Paper 2 feedback and repair</w:t>
      </w:r>
    </w:p>
    <w:p>
      <w:r>
        <w:t>Objective: Interpret feedback on mock Paper 2 and repair a priority misconception.</w:t>
      </w:r>
    </w:p>
    <w:p>
      <w:r>
        <w:t>Calculator condition: Non-calculator core; calculator optional only for checking where labelled.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101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Core knowledge</w:t>
      </w:r>
    </w:p>
    <w:p>
      <w:pPr>
        <w:pStyle w:val="ListBullet"/>
      </w:pPr>
      <w:r>
        <w:t>Use a 30 minute feedback conference with a worked-example/problem pair.</w:t>
      </w:r>
    </w:p>
    <w:p>
      <w:pPr>
        <w:pStyle w:val="ListBullet"/>
      </w:pPr>
      <w:r>
        <w:t>Agree the next independent check</w:t>
      </w:r>
    </w:p>
    <w:p>
      <w:pPr>
        <w:pStyle w:val="Heading2"/>
      </w:pPr>
      <w:r>
        <w:t>Method checklist</w:t>
      </w:r>
    </w:p>
    <w:p>
      <w:pPr>
        <w:pStyle w:val="ListBullet"/>
      </w:pPr>
      <w:r>
        <w:t>Identify what the question is asking.</w:t>
      </w:r>
    </w:p>
    <w:p>
      <w:pPr>
        <w:pStyle w:val="ListBullet"/>
      </w:pPr>
      <w:r>
        <w:t>Choose the relevant representation or method.</w:t>
      </w:r>
    </w:p>
    <w:p>
      <w:pPr>
        <w:pStyle w:val="ListBullet"/>
      </w:pPr>
      <w:r>
        <w:t>Show working clearly and label units.</w:t>
      </w:r>
    </w:p>
    <w:p>
      <w:pPr>
        <w:pStyle w:val="ListBullet"/>
      </w:pPr>
      <w:r>
        <w:t>Check the answer against the original context.</w:t>
      </w:r>
    </w:p>
    <w:p>
      <w:pPr>
        <w:pStyle w:val="ListBullet"/>
      </w:pPr>
      <w:r>
        <w:t>Write one sentence explaining why the answer is reasonable.</w:t>
      </w:r>
    </w:p>
    <w:p>
      <w:pPr>
        <w:pStyle w:val="Heading2"/>
      </w:pPr>
      <w:r>
        <w:t>Common error to avoid</w:t>
      </w:r>
    </w:p>
    <w:p>
      <w:pPr>
        <w:pStyle w:val="ListBullet"/>
      </w:pPr>
      <w:r>
        <w:t>A calculator input 420×1+0.07² is used for growth. Identify the bracket error.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