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L103</w:t>
      </w:r>
    </w:p>
    <w:p>
      <w:pPr>
        <w:pStyle w:val="Heading1"/>
        <w:jc w:val="center"/>
      </w:pPr>
      <w:r>
        <w:rPr>
          <w:color w:val="052D57"/>
        </w:rPr>
        <w:t>Learner workbook: Delayed reassessment</w:t>
      </w:r>
    </w:p>
    <w:p>
      <w:r>
        <w:t>Objective: Demonstrate retained improvement through delayed reassessment.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3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paper 3 feedback and repair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delayed reassessment.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assessment evidence to select a worked-example/problem pair.</w:t>
      </w:r>
    </w:p>
    <w:p>
      <w:pPr>
        <w:pStyle w:val="ListBullet"/>
      </w:pPr>
      <w:r>
        <w:t>Fade prompts and review a fresh independent response with the learner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delayed reassessment.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Solve x²−8x+15=0 after a one-week delay and check roots.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Why does copying a corrected example immediately after feedback give weaker retention evidence than a delayed fresh problem?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delayed reassessment.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L103: Delayed reassessment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Demonstrate retained improvement through delayed reassessment.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x²−8x+15=0 after a one-week delay and check roots.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Why does copying a corrected example immediately after feedback give weaker retention evidence than a delayed fresh problem?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