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L103</w:t>
      </w:r>
    </w:p>
    <w:p>
      <w:pPr>
        <w:pStyle w:val="Heading1"/>
        <w:jc w:val="center"/>
      </w:pPr>
      <w:r>
        <w:rPr>
          <w:color w:val="052D57"/>
        </w:rPr>
        <w:t>Teacher mark scheme: Delayed reassessment</w:t>
      </w:r>
    </w:p>
    <w:p>
      <w:r>
        <w:t>Objective: Demonstrate retained improvement through delayed reassessment.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