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L105</w:t>
      </w:r>
    </w:p>
    <w:p>
      <w:pPr>
        <w:pStyle w:val="Heading1"/>
        <w:jc w:val="center"/>
      </w:pPr>
      <w:r>
        <w:rPr>
          <w:color w:val="052D57"/>
        </w:rPr>
        <w:t>Knowledge organiser: Calculator fluency and accuracy</w:t>
      </w:r>
    </w:p>
    <w:p>
      <w:r>
        <w:t>Objective: Use a calculator efficiently while checking magnitude, accuracy and units.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105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Use assessment evidence to select a worked-example/problem pair.</w:t>
      </w:r>
    </w:p>
    <w:p>
      <w:pPr>
        <w:pStyle w:val="ListBullet"/>
      </w:pPr>
      <w:r>
        <w:t>Fade prompts and review a fresh independent response with the learner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result is 0.00048372. Round to three significant figures and explain the first significant digit.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