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L107</w:t>
      </w:r>
    </w:p>
    <w:p>
      <w:pPr>
        <w:pStyle w:val="Heading1"/>
        <w:jc w:val="center"/>
      </w:pPr>
      <w:r>
        <w:rPr>
          <w:color w:val="052D57"/>
        </w:rPr>
        <w:t>Learner assessment: Paper readiness</w:t>
      </w:r>
    </w:p>
    <w:p>
      <w:r>
        <w:t>Objective: Demonstrate paper readiness through mixed tier-appropriate questions.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Mini-assessment</w:t>
      </w:r>
    </w:p>
    <w:p>
      <w:r>
        <w:t>Time: 20 minutes. Work independently. Non-calculator core; calculator optional only for checking where labelled.</w:t>
      </w:r>
    </w:p>
    <w:p>
      <w:r>
        <w:t>1. Retrieve the key fact or method needed for paper readiness.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A learner spends 18 minutes on a 6-mark question. At 90 minutes for 80 marks, how many minutes above proportional allocation is that?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Give a practical paper strategy after finding an unfamiliar question.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Solve an exam-style problem involving paper readiness. Show working, include a check and interpret your answer.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