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L107</w:t>
      </w:r>
    </w:p>
    <w:p>
      <w:pPr>
        <w:pStyle w:val="Heading1"/>
        <w:jc w:val="center"/>
      </w:pPr>
      <w:r>
        <w:rPr>
          <w:color w:val="052D57"/>
        </w:rPr>
        <w:t>Learner workbook: Paper readiness</w:t>
      </w:r>
    </w:p>
    <w:p>
      <w:r>
        <w:t>Objective: Demonstrate paper readiness through mixed tier-appropriate questions.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107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reasoning and multi-step problems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paper readiness.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Use assessment evidence to select a worked-example/problem pair.</w:t>
      </w:r>
    </w:p>
    <w:p>
      <w:pPr>
        <w:pStyle w:val="ListBullet"/>
      </w:pPr>
      <w:r>
        <w:t>Fade prompts and review a fresh independent response with the learner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paper readiness.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A learner spends 18 minutes on a 6-mark question. At 90 minutes for 80 marks, how many minutes above proportional allocation is that?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Give a practical paper strategy after finding an unfamiliar question.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paper readiness.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L107: Paper readiness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Demonstrate paper readiness through mixed tier-appropriate questions.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learner spends 18 minutes on a 6-mark question. At 90 minutes for 80 marks, how many minutes above proportional allocation is that?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Give a practical paper strategy after finding an unfamiliar question.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