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L108</w:t>
      </w:r>
    </w:p>
    <w:p>
      <w:pPr>
        <w:pStyle w:val="Heading1"/>
        <w:jc w:val="center"/>
      </w:pPr>
      <w:r>
        <w:rPr>
          <w:color w:val="052D57"/>
        </w:rPr>
        <w:t>Learner workbook: Personal revision plan and flexible repair</w:t>
      </w:r>
    </w:p>
    <w:p>
      <w:r>
        <w:t>Objective: Plan spaced revision and choose manageable next steps from evidence.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paper readiness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personal revision plan and flexible repair.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assessment evidence to select a worked-example/problem pair.</w:t>
      </w:r>
    </w:p>
    <w:p>
      <w:pPr>
        <w:pStyle w:val="ListBullet"/>
      </w:pPr>
      <w:r>
        <w:t>Fade prompts and review a fresh independent response with the learner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personal revision plan and flexible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Plan three short spaced checks for fractions over two weeks, with one fresh question in each.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learner can answer only when following a model. What evidence would justify removing the scaffold?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personal revision plan and flexible repair.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L108: Personal revision plan and flexible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Plan spaced revision and choose manageable next steps from evidence.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Plan three short spaced checks for fractions over two weeks, with one fresh question in each.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can answer only when following a model. What evidence would justify removing the scaffold?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